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93" w:rsidRPr="00496179" w:rsidRDefault="00586348" w:rsidP="00082593">
      <w:pPr>
        <w:pStyle w:val="Heading2"/>
        <w:rPr>
          <w:rFonts w:eastAsia="Times New Roman"/>
        </w:rPr>
      </w:pPr>
      <w:r>
        <w:rPr>
          <w:rFonts w:eastAsia="Times New Roman"/>
        </w:rPr>
        <w:t xml:space="preserve">Discussion </w:t>
      </w:r>
      <w:r w:rsidR="00111311">
        <w:rPr>
          <w:rFonts w:eastAsia="Times New Roman"/>
        </w:rPr>
        <w:t xml:space="preserve">on the </w:t>
      </w:r>
      <w:r w:rsidR="00451832">
        <w:rPr>
          <w:rFonts w:eastAsia="Times New Roman"/>
        </w:rPr>
        <w:t>“Area Management” concept for GWML</w:t>
      </w:r>
    </w:p>
    <w:p w:rsidR="00451832" w:rsidRDefault="00451832" w:rsidP="007B6F51">
      <w:pPr>
        <w:spacing w:after="0"/>
        <w:rPr>
          <w:sz w:val="20"/>
          <w:szCs w:val="20"/>
        </w:rPr>
      </w:pPr>
    </w:p>
    <w:p w:rsidR="00451832" w:rsidRPr="00914A1B" w:rsidRDefault="00451832" w:rsidP="007B6F51">
      <w:pPr>
        <w:spacing w:after="0"/>
      </w:pPr>
      <w:r w:rsidRPr="00914A1B">
        <w:t xml:space="preserve">So far </w:t>
      </w:r>
      <w:r w:rsidR="00914A1B" w:rsidRPr="00914A1B">
        <w:t xml:space="preserve">the </w:t>
      </w:r>
      <w:r w:rsidRPr="00914A1B">
        <w:t>following concepts related to “</w:t>
      </w:r>
      <w:r w:rsidR="00914A1B">
        <w:t>m</w:t>
      </w:r>
      <w:r w:rsidRPr="00914A1B">
        <w:t>anagement of an area” where identified:</w:t>
      </w:r>
    </w:p>
    <w:p w:rsidR="007B6F51" w:rsidRPr="00914A1B" w:rsidRDefault="00914A1B" w:rsidP="007B6F51">
      <w:pPr>
        <w:spacing w:after="0"/>
        <w:rPr>
          <w:i/>
          <w:sz w:val="18"/>
          <w:szCs w:val="18"/>
        </w:rPr>
      </w:pPr>
      <w:r w:rsidRPr="00914A1B">
        <w:rPr>
          <w:i/>
          <w:sz w:val="18"/>
          <w:szCs w:val="18"/>
        </w:rPr>
        <w:t xml:space="preserve"> </w:t>
      </w:r>
      <w:r w:rsidR="007B6F51" w:rsidRPr="00914A1B">
        <w:rPr>
          <w:i/>
          <w:sz w:val="18"/>
          <w:szCs w:val="18"/>
        </w:rPr>
        <w:t>(</w:t>
      </w:r>
      <w:proofErr w:type="gramStart"/>
      <w:r w:rsidR="007B6F51" w:rsidRPr="00914A1B">
        <w:rPr>
          <w:i/>
          <w:sz w:val="18"/>
          <w:szCs w:val="18"/>
        </w:rPr>
        <w:t>imported</w:t>
      </w:r>
      <w:proofErr w:type="gramEnd"/>
      <w:r w:rsidR="007B6F51" w:rsidRPr="00914A1B">
        <w:rPr>
          <w:i/>
          <w:sz w:val="18"/>
          <w:szCs w:val="18"/>
        </w:rPr>
        <w:t xml:space="preserve"> from http://external.opengis.org/twiki_public/HydrologyDWG/Gwml2ConsolFeatureList)</w:t>
      </w:r>
    </w:p>
    <w:p w:rsidR="006C6F8C" w:rsidRPr="006C6F8C" w:rsidRDefault="006C6F8C" w:rsidP="006C6F8C">
      <w:pPr>
        <w:spacing w:after="0"/>
        <w:rPr>
          <w:sz w:val="20"/>
          <w:szCs w:val="20"/>
          <w:u w:val="single"/>
        </w:rPr>
      </w:pPr>
      <w:r w:rsidRPr="006C6F8C">
        <w:rPr>
          <w:sz w:val="20"/>
          <w:szCs w:val="20"/>
          <w:u w:val="single"/>
        </w:rPr>
        <w:t>Management Areas:</w:t>
      </w:r>
    </w:p>
    <w:p w:rsidR="006C6F8C" w:rsidRPr="006C6F8C" w:rsidRDefault="006C6F8C" w:rsidP="006C6F8C">
      <w:pPr>
        <w:pStyle w:val="ListParagraph"/>
        <w:numPr>
          <w:ilvl w:val="0"/>
          <w:numId w:val="1"/>
        </w:numPr>
        <w:spacing w:after="0" w:line="240" w:lineRule="auto"/>
        <w:rPr>
          <w:sz w:val="20"/>
          <w:szCs w:val="20"/>
        </w:rPr>
      </w:pPr>
      <w:r w:rsidRPr="006C6F8C">
        <w:rPr>
          <w:sz w:val="20"/>
          <w:szCs w:val="20"/>
        </w:rPr>
        <w:t>Protected Area</w:t>
      </w:r>
    </w:p>
    <w:p w:rsidR="006C6F8C" w:rsidRPr="006C6F8C" w:rsidRDefault="006C6F8C" w:rsidP="006C6F8C">
      <w:pPr>
        <w:pStyle w:val="ListParagraph"/>
        <w:numPr>
          <w:ilvl w:val="0"/>
          <w:numId w:val="1"/>
        </w:numPr>
        <w:spacing w:after="0" w:line="240" w:lineRule="auto"/>
        <w:rPr>
          <w:sz w:val="20"/>
          <w:szCs w:val="20"/>
        </w:rPr>
      </w:pPr>
      <w:r w:rsidRPr="006C6F8C">
        <w:rPr>
          <w:sz w:val="20"/>
          <w:szCs w:val="20"/>
        </w:rPr>
        <w:t>Groundwater Management Zone</w:t>
      </w:r>
    </w:p>
    <w:p w:rsidR="006C6F8C" w:rsidRPr="006C6F8C" w:rsidRDefault="006C6F8C" w:rsidP="006C6F8C">
      <w:pPr>
        <w:pStyle w:val="ListParagraph"/>
        <w:numPr>
          <w:ilvl w:val="0"/>
          <w:numId w:val="1"/>
        </w:numPr>
        <w:spacing w:after="0" w:line="240" w:lineRule="auto"/>
        <w:rPr>
          <w:sz w:val="20"/>
          <w:szCs w:val="20"/>
        </w:rPr>
      </w:pPr>
      <w:r w:rsidRPr="006C6F8C">
        <w:rPr>
          <w:sz w:val="20"/>
          <w:szCs w:val="20"/>
        </w:rPr>
        <w:t>Management Restriction Or Regulation Zone</w:t>
      </w:r>
    </w:p>
    <w:p w:rsidR="006C6F8C" w:rsidRPr="006C6F8C" w:rsidRDefault="006C6F8C" w:rsidP="006C6F8C">
      <w:pPr>
        <w:pStyle w:val="ListParagraph"/>
        <w:numPr>
          <w:ilvl w:val="0"/>
          <w:numId w:val="1"/>
        </w:numPr>
        <w:spacing w:after="0" w:line="240" w:lineRule="auto"/>
        <w:rPr>
          <w:sz w:val="20"/>
          <w:szCs w:val="20"/>
        </w:rPr>
      </w:pPr>
      <w:r w:rsidRPr="006C6F8C">
        <w:rPr>
          <w:sz w:val="20"/>
          <w:szCs w:val="20"/>
        </w:rPr>
        <w:t>River Basin District</w:t>
      </w:r>
    </w:p>
    <w:p w:rsidR="006C6F8C" w:rsidRPr="006C6F8C" w:rsidRDefault="006C6F8C" w:rsidP="006C6F8C">
      <w:pPr>
        <w:pStyle w:val="ListParagraph"/>
        <w:numPr>
          <w:ilvl w:val="0"/>
          <w:numId w:val="1"/>
        </w:numPr>
        <w:spacing w:after="0" w:line="240" w:lineRule="auto"/>
        <w:rPr>
          <w:sz w:val="20"/>
          <w:szCs w:val="20"/>
        </w:rPr>
      </w:pPr>
      <w:r w:rsidRPr="006C6F8C">
        <w:rPr>
          <w:sz w:val="20"/>
          <w:szCs w:val="20"/>
        </w:rPr>
        <w:t>Groundwater Basin</w:t>
      </w:r>
    </w:p>
    <w:p w:rsidR="00914A1B" w:rsidRDefault="00914A1B" w:rsidP="006C6F8C">
      <w:pPr>
        <w:spacing w:after="0"/>
        <w:rPr>
          <w:rStyle w:val="foswikigreenfg"/>
        </w:rPr>
      </w:pPr>
    </w:p>
    <w:p w:rsidR="00E03E42" w:rsidRDefault="00E03E42" w:rsidP="006C6F8C">
      <w:pPr>
        <w:spacing w:after="0"/>
        <w:rPr>
          <w:rStyle w:val="foswikigreenfg"/>
        </w:rPr>
      </w:pPr>
      <w:r>
        <w:rPr>
          <w:rStyle w:val="foswikigreenfg"/>
        </w:rPr>
        <w:t xml:space="preserve">The group ‘Management Areas’ includes specific </w:t>
      </w:r>
      <w:r w:rsidR="00914A1B">
        <w:rPr>
          <w:rStyle w:val="foswikigreenfg"/>
        </w:rPr>
        <w:t>a</w:t>
      </w:r>
      <w:r>
        <w:rPr>
          <w:rStyle w:val="foswikigreenfg"/>
        </w:rPr>
        <w:t xml:space="preserve">reas (surface, subsurface) which are under a </w:t>
      </w:r>
      <w:r w:rsidR="00914A1B">
        <w:rPr>
          <w:rStyle w:val="foswikigreenfg"/>
        </w:rPr>
        <w:t xml:space="preserve">type of regulation or restriction where usually state authority applies </w:t>
      </w:r>
      <w:r>
        <w:rPr>
          <w:rStyle w:val="foswikigreenfg"/>
        </w:rPr>
        <w:t>management</w:t>
      </w:r>
      <w:r w:rsidR="00914A1B">
        <w:rPr>
          <w:rStyle w:val="foswikigreenfg"/>
        </w:rPr>
        <w:t xml:space="preserve"> based on legislation (not always). The delineation of </w:t>
      </w:r>
      <w:r w:rsidR="00A5742E">
        <w:rPr>
          <w:rStyle w:val="foswikigreenfg"/>
        </w:rPr>
        <w:t>these</w:t>
      </w:r>
      <w:r w:rsidR="00914A1B">
        <w:rPr>
          <w:rStyle w:val="foswikigreenfg"/>
        </w:rPr>
        <w:t xml:space="preserve"> area</w:t>
      </w:r>
      <w:r w:rsidR="00A5742E">
        <w:rPr>
          <w:rStyle w:val="foswikigreenfg"/>
        </w:rPr>
        <w:t>s</w:t>
      </w:r>
      <w:r w:rsidR="00914A1B">
        <w:rPr>
          <w:rStyle w:val="foswikigreenfg"/>
        </w:rPr>
        <w:t xml:space="preserve"> usually follows administrative boundaries thus do not strictly </w:t>
      </w:r>
      <w:r w:rsidR="00B50506">
        <w:rPr>
          <w:rStyle w:val="foswikigreenfg"/>
        </w:rPr>
        <w:t>follow the n</w:t>
      </w:r>
      <w:r w:rsidR="00914A1B">
        <w:rPr>
          <w:rStyle w:val="foswikigreenfg"/>
        </w:rPr>
        <w:t>atural phenomenon</w:t>
      </w:r>
      <w:r w:rsidR="00B50506">
        <w:rPr>
          <w:rStyle w:val="foswikigreenfg"/>
        </w:rPr>
        <w:t xml:space="preserve"> (e.g. Groundwater bodies). Very often there is a reporting on the “state” of the “management area” imposed by the different levels of state authorities thus the area c</w:t>
      </w:r>
      <w:r w:rsidR="00A5742E">
        <w:rPr>
          <w:rStyle w:val="foswikigreenfg"/>
        </w:rPr>
        <w:t xml:space="preserve">ould </w:t>
      </w:r>
      <w:r w:rsidR="00B50506">
        <w:rPr>
          <w:rStyle w:val="foswikigreenfg"/>
        </w:rPr>
        <w:t>also be seen as a “reporting unit”.</w:t>
      </w:r>
    </w:p>
    <w:p w:rsidR="00B50506" w:rsidRDefault="00B50506" w:rsidP="006C6F8C">
      <w:pPr>
        <w:spacing w:after="0"/>
        <w:rPr>
          <w:rStyle w:val="foswikigreenfg"/>
        </w:rPr>
      </w:pPr>
    </w:p>
    <w:p w:rsidR="00B50506" w:rsidRDefault="00B50506" w:rsidP="006C6F8C">
      <w:pPr>
        <w:spacing w:after="0"/>
        <w:rPr>
          <w:rStyle w:val="foswikigreenfg"/>
          <w:sz w:val="24"/>
        </w:rPr>
      </w:pPr>
      <w:r>
        <w:rPr>
          <w:rStyle w:val="foswikigreenfg"/>
          <w:sz w:val="24"/>
        </w:rPr>
        <w:t xml:space="preserve">Based on the analyses of the concept definitions (see </w:t>
      </w:r>
      <w:r w:rsidR="00A5742E">
        <w:rPr>
          <w:rStyle w:val="foswikigreenfg"/>
          <w:sz w:val="24"/>
        </w:rPr>
        <w:t xml:space="preserve">in </w:t>
      </w:r>
      <w:r>
        <w:rPr>
          <w:rStyle w:val="foswikigreenfg"/>
          <w:sz w:val="24"/>
        </w:rPr>
        <w:t xml:space="preserve">Annex 1) we see two possible </w:t>
      </w:r>
      <w:r w:rsidR="000D53D5">
        <w:rPr>
          <w:rStyle w:val="foswikigreenfg"/>
          <w:sz w:val="24"/>
        </w:rPr>
        <w:t>modeling</w:t>
      </w:r>
      <w:r>
        <w:rPr>
          <w:rStyle w:val="foswikigreenfg"/>
          <w:sz w:val="24"/>
        </w:rPr>
        <w:t xml:space="preserve"> ways forward:</w:t>
      </w:r>
    </w:p>
    <w:p w:rsidR="000D53D5" w:rsidRDefault="00B50506" w:rsidP="000D53D5">
      <w:pPr>
        <w:pStyle w:val="ListParagraph"/>
        <w:numPr>
          <w:ilvl w:val="0"/>
          <w:numId w:val="5"/>
        </w:numPr>
        <w:spacing w:after="0"/>
        <w:rPr>
          <w:rStyle w:val="foswikigreenfg"/>
          <w:sz w:val="24"/>
        </w:rPr>
      </w:pPr>
      <w:r w:rsidRPr="000D53D5">
        <w:rPr>
          <w:rStyle w:val="foswikigreenfg"/>
          <w:sz w:val="24"/>
        </w:rPr>
        <w:t>Defining a very gener</w:t>
      </w:r>
      <w:r w:rsidR="00A5742E">
        <w:rPr>
          <w:rStyle w:val="foswikigreenfg"/>
          <w:sz w:val="24"/>
        </w:rPr>
        <w:t>ic</w:t>
      </w:r>
      <w:r w:rsidRPr="000D53D5">
        <w:rPr>
          <w:rStyle w:val="foswikigreenfg"/>
          <w:sz w:val="24"/>
        </w:rPr>
        <w:t xml:space="preserve"> concept/feature: </w:t>
      </w:r>
      <w:r w:rsidRPr="00A5742E">
        <w:rPr>
          <w:rStyle w:val="foswikigreenfg"/>
          <w:b/>
          <w:i/>
          <w:sz w:val="24"/>
        </w:rPr>
        <w:t>“Area Management Unit”</w:t>
      </w:r>
      <w:r w:rsidRPr="000D53D5">
        <w:rPr>
          <w:rStyle w:val="foswikigreenfg"/>
          <w:sz w:val="24"/>
        </w:rPr>
        <w:t xml:space="preserve"> with the main property/attribute: </w:t>
      </w:r>
      <w:r w:rsidRPr="00A5742E">
        <w:rPr>
          <w:rStyle w:val="foswikigreenfg"/>
          <w:b/>
          <w:i/>
          <w:sz w:val="24"/>
        </w:rPr>
        <w:t>“Type of area</w:t>
      </w:r>
      <w:r w:rsidR="00A5742E" w:rsidRPr="00A5742E">
        <w:rPr>
          <w:rStyle w:val="foswikigreenfg"/>
          <w:b/>
          <w:i/>
          <w:sz w:val="24"/>
        </w:rPr>
        <w:t xml:space="preserve"> unit</w:t>
      </w:r>
      <w:r w:rsidRPr="00A5742E">
        <w:rPr>
          <w:rStyle w:val="foswikigreenfg"/>
          <w:b/>
          <w:i/>
          <w:sz w:val="24"/>
        </w:rPr>
        <w:t>”</w:t>
      </w:r>
      <w:r w:rsidRPr="000D53D5">
        <w:rPr>
          <w:rStyle w:val="foswikigreenfg"/>
          <w:sz w:val="24"/>
        </w:rPr>
        <w:t xml:space="preserve"> that will be defined by </w:t>
      </w:r>
      <w:r w:rsidR="00A5742E">
        <w:rPr>
          <w:rStyle w:val="foswikigreenfg"/>
          <w:sz w:val="24"/>
        </w:rPr>
        <w:t xml:space="preserve">a </w:t>
      </w:r>
      <w:r w:rsidRPr="000D53D5">
        <w:rPr>
          <w:rStyle w:val="foswikigreenfg"/>
          <w:sz w:val="24"/>
        </w:rPr>
        <w:t>code list</w:t>
      </w:r>
      <w:r w:rsidR="00A5742E">
        <w:rPr>
          <w:rStyle w:val="foswikigreenfg"/>
          <w:sz w:val="24"/>
        </w:rPr>
        <w:t>(</w:t>
      </w:r>
      <w:r w:rsidRPr="000D53D5">
        <w:rPr>
          <w:rStyle w:val="foswikigreenfg"/>
          <w:sz w:val="24"/>
        </w:rPr>
        <w:t>s</w:t>
      </w:r>
      <w:r w:rsidR="00A5742E">
        <w:rPr>
          <w:rStyle w:val="foswikigreenfg"/>
          <w:sz w:val="24"/>
        </w:rPr>
        <w:t>)</w:t>
      </w:r>
      <w:r w:rsidRPr="000D53D5">
        <w:rPr>
          <w:rStyle w:val="foswikigreenfg"/>
          <w:sz w:val="24"/>
        </w:rPr>
        <w:t xml:space="preserve"> of different types/categories </w:t>
      </w:r>
      <w:r w:rsidR="000D53D5" w:rsidRPr="000D53D5">
        <w:rPr>
          <w:rStyle w:val="foswikigreenfg"/>
          <w:sz w:val="24"/>
        </w:rPr>
        <w:t>for</w:t>
      </w:r>
      <w:r w:rsidRPr="000D53D5">
        <w:rPr>
          <w:rStyle w:val="foswikigreenfg"/>
          <w:sz w:val="24"/>
        </w:rPr>
        <w:t xml:space="preserve"> </w:t>
      </w:r>
      <w:r w:rsidR="00A5742E">
        <w:rPr>
          <w:rStyle w:val="foswikigreenfg"/>
          <w:sz w:val="24"/>
        </w:rPr>
        <w:t xml:space="preserve">the </w:t>
      </w:r>
      <w:r w:rsidRPr="000D53D5">
        <w:rPr>
          <w:rStyle w:val="foswikigreenfg"/>
          <w:sz w:val="24"/>
        </w:rPr>
        <w:t>“Area Management Unit”.</w:t>
      </w:r>
      <w:r w:rsidR="000D53D5" w:rsidRPr="000D53D5">
        <w:rPr>
          <w:rStyle w:val="foswikigreenfg"/>
          <w:sz w:val="24"/>
        </w:rPr>
        <w:t xml:space="preserve"> Our </w:t>
      </w:r>
      <w:r w:rsidR="00A5742E">
        <w:rPr>
          <w:rStyle w:val="foswikigreenfg"/>
          <w:sz w:val="24"/>
        </w:rPr>
        <w:t xml:space="preserve">so far identified </w:t>
      </w:r>
      <w:r w:rsidR="000D53D5" w:rsidRPr="000D53D5">
        <w:rPr>
          <w:rStyle w:val="foswikigreenfg"/>
          <w:sz w:val="24"/>
        </w:rPr>
        <w:t>concepts (e.g. protected areas, GW management Zones, River basin districts</w:t>
      </w:r>
      <w:r w:rsidR="00A5742E">
        <w:rPr>
          <w:rStyle w:val="foswikigreenfg"/>
          <w:sz w:val="24"/>
        </w:rPr>
        <w:t xml:space="preserve">), but can be </w:t>
      </w:r>
      <w:r w:rsidR="000D53D5" w:rsidRPr="000D53D5">
        <w:rPr>
          <w:rStyle w:val="foswikigreenfg"/>
          <w:sz w:val="24"/>
        </w:rPr>
        <w:t>more are then defined as values of the “Type of Area</w:t>
      </w:r>
      <w:r w:rsidR="00A5742E">
        <w:rPr>
          <w:rStyle w:val="foswikigreenfg"/>
          <w:sz w:val="24"/>
        </w:rPr>
        <w:t xml:space="preserve"> unit</w:t>
      </w:r>
      <w:r w:rsidR="000D53D5" w:rsidRPr="000D53D5">
        <w:rPr>
          <w:rStyle w:val="foswikigreenfg"/>
          <w:sz w:val="24"/>
        </w:rPr>
        <w:t>” code list</w:t>
      </w:r>
      <w:r w:rsidR="00A5742E">
        <w:rPr>
          <w:rStyle w:val="foswikigreenfg"/>
          <w:sz w:val="24"/>
        </w:rPr>
        <w:t>(s)</w:t>
      </w:r>
      <w:r w:rsidR="000D53D5">
        <w:rPr>
          <w:rStyle w:val="foswikigreenfg"/>
          <w:sz w:val="24"/>
        </w:rPr>
        <w:t>.</w:t>
      </w:r>
      <w:r w:rsidRPr="000D53D5">
        <w:rPr>
          <w:rStyle w:val="foswikigreenfg"/>
          <w:sz w:val="24"/>
        </w:rPr>
        <w:t xml:space="preserve"> </w:t>
      </w:r>
    </w:p>
    <w:p w:rsidR="000D53D5" w:rsidRDefault="00B50506" w:rsidP="000D53D5">
      <w:pPr>
        <w:pStyle w:val="ListParagraph"/>
        <w:spacing w:after="0"/>
        <w:ind w:left="1695"/>
        <w:rPr>
          <w:rStyle w:val="foswikigreenfg"/>
          <w:sz w:val="24"/>
        </w:rPr>
      </w:pPr>
      <w:r w:rsidRPr="000D53D5">
        <w:rPr>
          <w:rStyle w:val="foswikigreenfg"/>
          <w:sz w:val="24"/>
        </w:rPr>
        <w:t>This option would follow the INSPIRE modeling approach (see below the screen shot</w:t>
      </w:r>
      <w:r w:rsidR="00A5742E">
        <w:rPr>
          <w:rStyle w:val="foswikigreenfg"/>
          <w:sz w:val="24"/>
        </w:rPr>
        <w:t>s</w:t>
      </w:r>
      <w:r w:rsidRPr="000D53D5">
        <w:rPr>
          <w:rStyle w:val="foswikigreenfg"/>
          <w:sz w:val="24"/>
        </w:rPr>
        <w:t xml:space="preserve"> of UML + the definitions for the main code lists used</w:t>
      </w:r>
      <w:r w:rsidR="000D53D5">
        <w:rPr>
          <w:rStyle w:val="foswikigreenfg"/>
          <w:sz w:val="24"/>
        </w:rPr>
        <w:t>) which was applied due to the wide scope</w:t>
      </w:r>
      <w:r w:rsidR="00A5742E">
        <w:rPr>
          <w:rStyle w:val="foswikigreenfg"/>
          <w:sz w:val="24"/>
        </w:rPr>
        <w:t xml:space="preserve"> character of</w:t>
      </w:r>
      <w:r w:rsidR="000D53D5">
        <w:rPr>
          <w:rStyle w:val="foswikigreenfg"/>
          <w:sz w:val="24"/>
        </w:rPr>
        <w:t xml:space="preserve"> the </w:t>
      </w:r>
      <w:r w:rsidR="00A5742E">
        <w:rPr>
          <w:rStyle w:val="foswikigreenfg"/>
          <w:sz w:val="24"/>
        </w:rPr>
        <w:t xml:space="preserve">INSPIRE </w:t>
      </w:r>
      <w:r w:rsidR="000D53D5">
        <w:rPr>
          <w:rStyle w:val="foswikigreenfg"/>
          <w:sz w:val="24"/>
        </w:rPr>
        <w:t>“Area Management” data theme - not limited only to groundwater issues</w:t>
      </w:r>
      <w:r w:rsidRPr="000D53D5">
        <w:rPr>
          <w:rStyle w:val="foswikigreenfg"/>
          <w:sz w:val="24"/>
        </w:rPr>
        <w:t xml:space="preserve">. </w:t>
      </w:r>
      <w:r w:rsidR="000D53D5" w:rsidRPr="00490216">
        <w:rPr>
          <w:sz w:val="16"/>
          <w:szCs w:val="16"/>
        </w:rPr>
        <w:t>(</w:t>
      </w:r>
      <w:hyperlink r:id="rId6" w:history="1">
        <w:r w:rsidR="000D53D5" w:rsidRPr="00D27FA1">
          <w:rPr>
            <w:rStyle w:val="Hyperlink"/>
            <w:sz w:val="16"/>
            <w:szCs w:val="16"/>
          </w:rPr>
          <w:t>http://inspire.jrc.ec.europa.eu/documents/Data_Specifications/INSPIRE_DataSpecification_AM_v3.0rc3.pdf</w:t>
        </w:r>
      </w:hyperlink>
      <w:r w:rsidR="000D53D5" w:rsidRPr="00490216">
        <w:rPr>
          <w:sz w:val="16"/>
          <w:szCs w:val="16"/>
        </w:rPr>
        <w:t>)</w:t>
      </w:r>
      <w:r w:rsidRPr="000D53D5">
        <w:rPr>
          <w:rStyle w:val="foswikigreenfg"/>
          <w:sz w:val="24"/>
        </w:rPr>
        <w:t xml:space="preserve"> </w:t>
      </w:r>
    </w:p>
    <w:p w:rsidR="000D53D5" w:rsidRDefault="000D53D5" w:rsidP="000D53D5">
      <w:pPr>
        <w:pStyle w:val="ListParagraph"/>
        <w:spacing w:after="0"/>
        <w:ind w:left="1695"/>
        <w:rPr>
          <w:rStyle w:val="foswikigreenfg"/>
          <w:sz w:val="24"/>
        </w:rPr>
      </w:pPr>
    </w:p>
    <w:p w:rsidR="00525D7A" w:rsidRDefault="00525D7A" w:rsidP="000D53D5">
      <w:pPr>
        <w:pStyle w:val="ListParagraph"/>
        <w:spacing w:after="0"/>
        <w:ind w:left="1695"/>
        <w:rPr>
          <w:rStyle w:val="foswikigreenfg"/>
          <w:b/>
          <w:i/>
          <w:sz w:val="24"/>
        </w:rPr>
      </w:pPr>
      <w:r w:rsidRPr="00525D7A">
        <w:rPr>
          <w:rStyle w:val="foswikigreenfg"/>
          <w:b/>
          <w:i/>
          <w:sz w:val="24"/>
        </w:rPr>
        <w:t>The option for GWML could be that the relevant code</w:t>
      </w:r>
      <w:r>
        <w:rPr>
          <w:rStyle w:val="foswikigreenfg"/>
          <w:b/>
          <w:i/>
          <w:sz w:val="24"/>
        </w:rPr>
        <w:t xml:space="preserve"> </w:t>
      </w:r>
      <w:r w:rsidRPr="00525D7A">
        <w:rPr>
          <w:rStyle w:val="foswikigreenfg"/>
          <w:b/>
          <w:i/>
          <w:sz w:val="24"/>
        </w:rPr>
        <w:t xml:space="preserve">lists are populated only with groundwater </w:t>
      </w:r>
      <w:r>
        <w:rPr>
          <w:rStyle w:val="foswikigreenfg"/>
          <w:b/>
          <w:i/>
          <w:sz w:val="24"/>
        </w:rPr>
        <w:t xml:space="preserve">management </w:t>
      </w:r>
      <w:r w:rsidRPr="00525D7A">
        <w:rPr>
          <w:rStyle w:val="foswikigreenfg"/>
          <w:b/>
          <w:i/>
          <w:sz w:val="24"/>
        </w:rPr>
        <w:t>related activities</w:t>
      </w:r>
    </w:p>
    <w:p w:rsidR="00525D7A" w:rsidRPr="00525D7A" w:rsidRDefault="00525D7A" w:rsidP="000D53D5">
      <w:pPr>
        <w:pStyle w:val="ListParagraph"/>
        <w:spacing w:after="0"/>
        <w:ind w:left="1695"/>
        <w:rPr>
          <w:rStyle w:val="foswikigreenfg"/>
          <w:b/>
          <w:i/>
          <w:sz w:val="24"/>
        </w:rPr>
      </w:pPr>
    </w:p>
    <w:p w:rsidR="007B23FB" w:rsidRPr="00FC0552" w:rsidRDefault="000D53D5" w:rsidP="007B23FB">
      <w:pPr>
        <w:pStyle w:val="ListParagraph"/>
        <w:numPr>
          <w:ilvl w:val="0"/>
          <w:numId w:val="5"/>
        </w:numPr>
        <w:spacing w:after="0"/>
        <w:rPr>
          <w:rStyle w:val="foswikigreenfg"/>
          <w:szCs w:val="20"/>
        </w:rPr>
      </w:pPr>
      <w:r w:rsidRPr="00FC0552">
        <w:rPr>
          <w:rStyle w:val="foswikigreenfg"/>
          <w:sz w:val="24"/>
        </w:rPr>
        <w:t xml:space="preserve">Defining more </w:t>
      </w:r>
      <w:r w:rsidRPr="00FC0552">
        <w:rPr>
          <w:rStyle w:val="foswikigreenfg"/>
          <w:b/>
          <w:sz w:val="24"/>
        </w:rPr>
        <w:t xml:space="preserve">specific </w:t>
      </w:r>
      <w:r w:rsidR="00525D7A" w:rsidRPr="00FC0552">
        <w:rPr>
          <w:rStyle w:val="foswikigreenfg"/>
          <w:b/>
          <w:sz w:val="24"/>
        </w:rPr>
        <w:t>a</w:t>
      </w:r>
      <w:r w:rsidRPr="00FC0552">
        <w:rPr>
          <w:rStyle w:val="foswikigreenfg"/>
          <w:sz w:val="24"/>
        </w:rPr>
        <w:t xml:space="preserve">rea management </w:t>
      </w:r>
      <w:r w:rsidR="00525D7A" w:rsidRPr="00FC0552">
        <w:rPr>
          <w:rStyle w:val="foswikigreenfg"/>
          <w:sz w:val="24"/>
        </w:rPr>
        <w:t>u</w:t>
      </w:r>
      <w:r w:rsidRPr="00FC0552">
        <w:rPr>
          <w:rStyle w:val="foswikigreenfg"/>
          <w:sz w:val="24"/>
        </w:rPr>
        <w:t>nit</w:t>
      </w:r>
      <w:r w:rsidR="00525D7A" w:rsidRPr="00FC0552">
        <w:rPr>
          <w:rStyle w:val="foswikigreenfg"/>
          <w:sz w:val="24"/>
        </w:rPr>
        <w:t xml:space="preserve">s (protected zones, GW management zones, river </w:t>
      </w:r>
      <w:proofErr w:type="spellStart"/>
      <w:r w:rsidR="00525D7A" w:rsidRPr="00FC0552">
        <w:rPr>
          <w:rStyle w:val="foswikigreenfg"/>
          <w:sz w:val="24"/>
        </w:rPr>
        <w:t>bain</w:t>
      </w:r>
      <w:proofErr w:type="spellEnd"/>
      <w:r w:rsidR="00525D7A" w:rsidRPr="00FC0552">
        <w:rPr>
          <w:rStyle w:val="foswikigreenfg"/>
          <w:sz w:val="24"/>
        </w:rPr>
        <w:t xml:space="preserve"> etc</w:t>
      </w:r>
      <w:proofErr w:type="gramStart"/>
      <w:r w:rsidR="00525D7A" w:rsidRPr="00FC0552">
        <w:rPr>
          <w:rStyle w:val="foswikigreenfg"/>
          <w:sz w:val="24"/>
        </w:rPr>
        <w:t>..)</w:t>
      </w:r>
      <w:proofErr w:type="gramEnd"/>
      <w:r w:rsidR="00525D7A" w:rsidRPr="00FC0552">
        <w:rPr>
          <w:rStyle w:val="foswikigreenfg"/>
          <w:sz w:val="24"/>
        </w:rPr>
        <w:t xml:space="preserve"> as subtypes of the gen</w:t>
      </w:r>
      <w:r w:rsidR="00FC0552" w:rsidRPr="00FC0552">
        <w:rPr>
          <w:rStyle w:val="foswikigreenfg"/>
          <w:sz w:val="24"/>
        </w:rPr>
        <w:t>e</w:t>
      </w:r>
      <w:r w:rsidR="00525D7A" w:rsidRPr="00FC0552">
        <w:rPr>
          <w:rStyle w:val="foswikigreenfg"/>
          <w:sz w:val="24"/>
        </w:rPr>
        <w:t xml:space="preserve">ric </w:t>
      </w:r>
      <w:r w:rsidR="00525D7A" w:rsidRPr="00FC0552">
        <w:rPr>
          <w:rStyle w:val="foswikigreenfg"/>
          <w:b/>
          <w:i/>
          <w:sz w:val="24"/>
        </w:rPr>
        <w:t>“Area Management Unit”</w:t>
      </w:r>
      <w:r w:rsidR="00FC0552" w:rsidRPr="00FC0552">
        <w:rPr>
          <w:rStyle w:val="foswikigreenfg"/>
          <w:b/>
          <w:i/>
          <w:sz w:val="24"/>
        </w:rPr>
        <w:t xml:space="preserve">. </w:t>
      </w:r>
      <w:r w:rsidR="00FC0552">
        <w:rPr>
          <w:rStyle w:val="foswikigreenfg"/>
          <w:sz w:val="24"/>
        </w:rPr>
        <w:t>See the Section 2 where the example for WFD surface and groundwater bodies is demonstrated. Similarly we can add a sub type for e.g. protected zones</w:t>
      </w:r>
      <w:proofErr w:type="gramStart"/>
      <w:r w:rsidR="00FC0552">
        <w:rPr>
          <w:rStyle w:val="foswikigreenfg"/>
          <w:sz w:val="24"/>
        </w:rPr>
        <w:t>..</w:t>
      </w:r>
      <w:proofErr w:type="gramEnd"/>
      <w:r w:rsidR="00FC0552">
        <w:rPr>
          <w:rStyle w:val="foswikigreenfg"/>
          <w:sz w:val="24"/>
        </w:rPr>
        <w:t xml:space="preserve"> </w:t>
      </w:r>
    </w:p>
    <w:p w:rsidR="00A5742E" w:rsidRPr="00784448" w:rsidRDefault="00A5742E" w:rsidP="007B23FB">
      <w:pPr>
        <w:spacing w:after="0"/>
        <w:rPr>
          <w:szCs w:val="20"/>
        </w:rPr>
      </w:pPr>
      <w:r w:rsidRPr="00A5742E">
        <w:rPr>
          <w:b/>
          <w:szCs w:val="20"/>
        </w:rPr>
        <w:lastRenderedPageBreak/>
        <w:t xml:space="preserve">Option 1) Generic “Area Management Unit” </w:t>
      </w:r>
      <w:r w:rsidRPr="00784448">
        <w:rPr>
          <w:szCs w:val="20"/>
        </w:rPr>
        <w:t>example from INSPIRE</w:t>
      </w:r>
    </w:p>
    <w:p w:rsidR="00FB5726" w:rsidRDefault="00FB5726" w:rsidP="00FB5726">
      <w:pPr>
        <w:keepNext/>
        <w:spacing w:after="0"/>
      </w:pPr>
      <w:r>
        <w:rPr>
          <w:i/>
          <w:iCs/>
          <w:noProof/>
          <w:color w:val="008000"/>
          <w:lang w:eastAsia="zh-CN"/>
        </w:rPr>
        <w:drawing>
          <wp:inline distT="0" distB="0" distL="0" distR="0" wp14:anchorId="62C61B37" wp14:editId="650EED56">
            <wp:extent cx="4890052" cy="4963947"/>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193" cy="4964090"/>
                    </a:xfrm>
                    <a:prstGeom prst="rect">
                      <a:avLst/>
                    </a:prstGeom>
                    <a:noFill/>
                    <a:ln>
                      <a:noFill/>
                    </a:ln>
                  </pic:spPr>
                </pic:pic>
              </a:graphicData>
            </a:graphic>
          </wp:inline>
        </w:drawing>
      </w:r>
    </w:p>
    <w:p w:rsidR="00DC07C2" w:rsidRDefault="00FB5726" w:rsidP="00FB5726">
      <w:pPr>
        <w:pStyle w:val="Caption"/>
        <w:rPr>
          <w:szCs w:val="20"/>
        </w:rPr>
      </w:pPr>
      <w:r>
        <w:t xml:space="preserve">Figure </w:t>
      </w:r>
      <w:fldSimple w:instr=" SEQ Figure \* ARABIC ">
        <w:r w:rsidR="00155CDF">
          <w:rPr>
            <w:noProof/>
          </w:rPr>
          <w:t>1</w:t>
        </w:r>
      </w:fldSimple>
      <w:r>
        <w:t xml:space="preserve">: </w:t>
      </w:r>
      <w:r w:rsidRPr="007F4EB3">
        <w:t>Overview of the Area Management Restriction and Regulation Zones application schema</w:t>
      </w:r>
    </w:p>
    <w:p w:rsidR="00525D7A" w:rsidRPr="00525D7A" w:rsidRDefault="002A4076" w:rsidP="00525D7A">
      <w:pPr>
        <w:spacing w:after="0"/>
        <w:rPr>
          <w:rFonts w:cs="Arial"/>
        </w:rPr>
      </w:pPr>
      <w:r w:rsidRPr="00525D7A">
        <w:rPr>
          <w:szCs w:val="20"/>
        </w:rPr>
        <w:t xml:space="preserve">The groundwater </w:t>
      </w:r>
      <w:r w:rsidR="00525D7A" w:rsidRPr="00525D7A">
        <w:rPr>
          <w:szCs w:val="20"/>
        </w:rPr>
        <w:t xml:space="preserve">related area management information is </w:t>
      </w:r>
      <w:r w:rsidR="00A42C38" w:rsidRPr="00525D7A">
        <w:rPr>
          <w:szCs w:val="20"/>
        </w:rPr>
        <w:t>derived</w:t>
      </w:r>
      <w:r w:rsidR="00525D7A" w:rsidRPr="00525D7A">
        <w:rPr>
          <w:szCs w:val="20"/>
        </w:rPr>
        <w:t>/defined</w:t>
      </w:r>
      <w:r w:rsidR="00A42C38" w:rsidRPr="00525D7A">
        <w:rPr>
          <w:szCs w:val="20"/>
        </w:rPr>
        <w:t xml:space="preserve"> from following</w:t>
      </w:r>
      <w:r w:rsidR="00030A5F" w:rsidRPr="00525D7A">
        <w:rPr>
          <w:szCs w:val="20"/>
        </w:rPr>
        <w:t xml:space="preserve"> code lists: </w:t>
      </w:r>
      <w:proofErr w:type="spellStart"/>
      <w:r w:rsidR="00030A5F" w:rsidRPr="00525D7A">
        <w:rPr>
          <w:szCs w:val="20"/>
        </w:rPr>
        <w:t>ZoneType</w:t>
      </w:r>
      <w:proofErr w:type="spellEnd"/>
      <w:r w:rsidR="00030A5F" w:rsidRPr="00525D7A">
        <w:rPr>
          <w:szCs w:val="20"/>
        </w:rPr>
        <w:t xml:space="preserve">, </w:t>
      </w:r>
      <w:proofErr w:type="spellStart"/>
      <w:r w:rsidR="00030A5F" w:rsidRPr="00525D7A">
        <w:rPr>
          <w:szCs w:val="20"/>
        </w:rPr>
        <w:t>Speci</w:t>
      </w:r>
      <w:r w:rsidR="00A42C38" w:rsidRPr="00525D7A">
        <w:rPr>
          <w:szCs w:val="20"/>
        </w:rPr>
        <w:t>alisedZoneTypes</w:t>
      </w:r>
      <w:proofErr w:type="spellEnd"/>
      <w:r w:rsidR="00A42C38" w:rsidRPr="00525D7A">
        <w:rPr>
          <w:szCs w:val="20"/>
        </w:rPr>
        <w:t xml:space="preserve"> and </w:t>
      </w:r>
      <w:proofErr w:type="spellStart"/>
      <w:r w:rsidR="00A42C38" w:rsidRPr="00525D7A">
        <w:rPr>
          <w:szCs w:val="20"/>
        </w:rPr>
        <w:t>EnvironmentD</w:t>
      </w:r>
      <w:r w:rsidR="00030A5F" w:rsidRPr="00525D7A">
        <w:rPr>
          <w:szCs w:val="20"/>
        </w:rPr>
        <w:t>omain</w:t>
      </w:r>
      <w:proofErr w:type="spellEnd"/>
      <w:r w:rsidR="00030A5F" w:rsidRPr="00525D7A">
        <w:rPr>
          <w:szCs w:val="20"/>
        </w:rPr>
        <w:t xml:space="preserve">. </w:t>
      </w:r>
    </w:p>
    <w:p w:rsidR="00525D7A" w:rsidRPr="0041536B" w:rsidRDefault="00525D7A" w:rsidP="00525D7A">
      <w:pPr>
        <w:pStyle w:val="ListParagraph"/>
        <w:numPr>
          <w:ilvl w:val="0"/>
          <w:numId w:val="3"/>
        </w:numPr>
        <w:spacing w:after="0"/>
        <w:rPr>
          <w:rFonts w:cs="Arial"/>
        </w:rPr>
      </w:pPr>
      <w:proofErr w:type="spellStart"/>
      <w:r w:rsidRPr="0041536B">
        <w:rPr>
          <w:rFonts w:cs="Arial"/>
          <w:iCs/>
        </w:rPr>
        <w:t>zoneTypeCode</w:t>
      </w:r>
      <w:proofErr w:type="spellEnd"/>
      <w:r w:rsidRPr="0041536B">
        <w:rPr>
          <w:rFonts w:cs="Arial"/>
          <w:iCs/>
        </w:rPr>
        <w:t xml:space="preserve"> </w:t>
      </w:r>
      <w:r>
        <w:t>{</w:t>
      </w:r>
      <w:r w:rsidRPr="0041536B">
        <w:rPr>
          <w:rFonts w:eastAsia="Times New Roman"/>
          <w:sz w:val="18"/>
          <w:szCs w:val="18"/>
        </w:rPr>
        <w:t>water body under the Water Framework Directive, river basin district</w:t>
      </w:r>
      <w:r>
        <w:t>},</w:t>
      </w:r>
      <w:r w:rsidRPr="0041536B">
        <w:rPr>
          <w:rFonts w:cs="Arial"/>
        </w:rPr>
        <w:t xml:space="preserve"> </w:t>
      </w:r>
    </w:p>
    <w:p w:rsidR="00525D7A" w:rsidRDefault="00525D7A" w:rsidP="00525D7A">
      <w:pPr>
        <w:spacing w:after="0"/>
        <w:ind w:left="720"/>
        <w:rPr>
          <w:rFonts w:cs="Arial"/>
        </w:rPr>
      </w:pPr>
      <w:r>
        <w:rPr>
          <w:rFonts w:cs="Arial"/>
        </w:rPr>
        <w:t xml:space="preserve">Management units as defined in the WFD can be described using the generic </w:t>
      </w:r>
      <w:proofErr w:type="spellStart"/>
      <w:r>
        <w:t>ManagementRestrictionOrRegulationZone</w:t>
      </w:r>
      <w:proofErr w:type="spellEnd"/>
      <w:r>
        <w:t xml:space="preserve"> spatial object type with </w:t>
      </w:r>
      <w:r>
        <w:rPr>
          <w:rFonts w:cs="Arial"/>
        </w:rPr>
        <w:t>the value</w:t>
      </w:r>
      <w:r w:rsidRPr="00404AB7">
        <w:rPr>
          <w:rFonts w:cs="Arial"/>
        </w:rPr>
        <w:t xml:space="preserve"> </w:t>
      </w:r>
      <w:proofErr w:type="spellStart"/>
      <w:r w:rsidRPr="00404AB7">
        <w:rPr>
          <w:rFonts w:cs="Arial"/>
        </w:rPr>
        <w:t>waterBody</w:t>
      </w:r>
      <w:r>
        <w:rPr>
          <w:rFonts w:cs="Arial"/>
        </w:rPr>
        <w:t>For</w:t>
      </w:r>
      <w:r w:rsidRPr="00404AB7">
        <w:rPr>
          <w:rFonts w:cs="Arial"/>
        </w:rPr>
        <w:t>WFD</w:t>
      </w:r>
      <w:proofErr w:type="spellEnd"/>
      <w:r w:rsidRPr="00404AB7">
        <w:rPr>
          <w:rFonts w:cs="Arial"/>
        </w:rPr>
        <w:t xml:space="preserve"> </w:t>
      </w:r>
      <w:r>
        <w:rPr>
          <w:rFonts w:cs="Arial"/>
        </w:rPr>
        <w:t>as</w:t>
      </w:r>
      <w:r w:rsidRPr="00404AB7">
        <w:rPr>
          <w:rFonts w:cs="Arial"/>
        </w:rPr>
        <w:t xml:space="preserve"> the </w:t>
      </w:r>
      <w:proofErr w:type="spellStart"/>
      <w:r w:rsidRPr="00404AB7">
        <w:rPr>
          <w:rFonts w:cs="Arial"/>
        </w:rPr>
        <w:t>zoneTypeCode</w:t>
      </w:r>
      <w:proofErr w:type="spellEnd"/>
      <w:r w:rsidRPr="00404AB7">
        <w:rPr>
          <w:rFonts w:cs="Arial"/>
        </w:rPr>
        <w:t xml:space="preserve">. </w:t>
      </w:r>
    </w:p>
    <w:p w:rsidR="00525D7A" w:rsidRPr="00525D7A" w:rsidRDefault="00525D7A" w:rsidP="00525D7A">
      <w:pPr>
        <w:pStyle w:val="ListParagraph"/>
        <w:numPr>
          <w:ilvl w:val="0"/>
          <w:numId w:val="3"/>
        </w:numPr>
        <w:spacing w:after="0"/>
        <w:rPr>
          <w:rFonts w:cs="Arial"/>
          <w:iCs/>
        </w:rPr>
      </w:pPr>
      <w:r w:rsidRPr="00525D7A">
        <w:rPr>
          <w:rFonts w:cs="Arial"/>
        </w:rPr>
        <w:t xml:space="preserve">Specific types of water body could then be defined using the </w:t>
      </w:r>
      <w:proofErr w:type="spellStart"/>
      <w:r w:rsidRPr="00525D7A">
        <w:rPr>
          <w:rFonts w:cs="Arial"/>
        </w:rPr>
        <w:t>specialisedZoneTypeCode.</w:t>
      </w:r>
      <w:r w:rsidRPr="00525D7A">
        <w:rPr>
          <w:rFonts w:cs="Arial"/>
          <w:iCs/>
        </w:rPr>
        <w:t>specialisedZoneTypeCode</w:t>
      </w:r>
      <w:proofErr w:type="spellEnd"/>
      <w:r>
        <w:t>{</w:t>
      </w:r>
      <w:r w:rsidRPr="00525D7A">
        <w:rPr>
          <w:rFonts w:eastAsia="Times New Roman"/>
          <w:sz w:val="18"/>
          <w:szCs w:val="18"/>
        </w:rPr>
        <w:t xml:space="preserve"> any values, submitted by data provider</w:t>
      </w:r>
      <w:r>
        <w:t>}</w:t>
      </w:r>
    </w:p>
    <w:p w:rsidR="00525D7A" w:rsidRDefault="00525D7A" w:rsidP="00525D7A">
      <w:pPr>
        <w:spacing w:after="0"/>
        <w:ind w:left="720"/>
      </w:pPr>
    </w:p>
    <w:p w:rsidR="00525D7A" w:rsidRDefault="00525D7A" w:rsidP="00525D7A">
      <w:pPr>
        <w:pStyle w:val="ListParagraph"/>
        <w:numPr>
          <w:ilvl w:val="0"/>
          <w:numId w:val="3"/>
        </w:numPr>
        <w:spacing w:after="0"/>
      </w:pPr>
      <w:proofErr w:type="spellStart"/>
      <w:r>
        <w:t>EnvironmentD</w:t>
      </w:r>
      <w:r w:rsidRPr="00A42C38">
        <w:t>omain</w:t>
      </w:r>
      <w:proofErr w:type="spellEnd"/>
      <w:r>
        <w:t>{</w:t>
      </w:r>
      <w:r w:rsidRPr="0041536B">
        <w:rPr>
          <w:rFonts w:eastAsia="Times New Roman"/>
          <w:sz w:val="18"/>
          <w:szCs w:val="18"/>
        </w:rPr>
        <w:t xml:space="preserve"> natural resources, water</w:t>
      </w:r>
      <w:r>
        <w:t xml:space="preserve">} </w:t>
      </w:r>
    </w:p>
    <w:p w:rsidR="00490216" w:rsidRDefault="00490216" w:rsidP="006C6F8C">
      <w:pPr>
        <w:spacing w:after="0"/>
        <w:rPr>
          <w:szCs w:val="20"/>
        </w:rPr>
      </w:pPr>
    </w:p>
    <w:p w:rsidR="00155CDF" w:rsidRDefault="00155CDF" w:rsidP="00155CDF">
      <w:pPr>
        <w:keepNext/>
        <w:spacing w:after="0"/>
      </w:pPr>
      <w:r>
        <w:rPr>
          <w:b/>
          <w:noProof/>
          <w:lang w:eastAsia="zh-CN"/>
        </w:rPr>
        <w:lastRenderedPageBreak/>
        <w:drawing>
          <wp:inline distT="0" distB="0" distL="0" distR="0" wp14:anchorId="027C6761" wp14:editId="79969AE6">
            <wp:extent cx="4827334" cy="247285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645" cy="2473014"/>
                    </a:xfrm>
                    <a:prstGeom prst="rect">
                      <a:avLst/>
                    </a:prstGeom>
                    <a:noFill/>
                    <a:ln>
                      <a:noFill/>
                    </a:ln>
                  </pic:spPr>
                </pic:pic>
              </a:graphicData>
            </a:graphic>
          </wp:inline>
        </w:drawing>
      </w:r>
    </w:p>
    <w:p w:rsidR="005B690E" w:rsidRDefault="00155CDF" w:rsidP="00155CDF">
      <w:pPr>
        <w:pStyle w:val="Caption"/>
        <w:rPr>
          <w:sz w:val="24"/>
        </w:rPr>
      </w:pPr>
      <w:r>
        <w:t xml:space="preserve">Figure </w:t>
      </w:r>
      <w:fldSimple w:instr=" SEQ Figure \* ARABIC ">
        <w:r>
          <w:rPr>
            <w:noProof/>
          </w:rPr>
          <w:t>2</w:t>
        </w:r>
      </w:fldSimple>
      <w:r>
        <w:t xml:space="preserve">: </w:t>
      </w:r>
      <w:r w:rsidRPr="00B34206">
        <w:t>Overview of the code lists contained within the Area Management Restriction and Regulation Zones application schema</w:t>
      </w:r>
    </w:p>
    <w:p w:rsidR="00525D7A" w:rsidRPr="00525D7A" w:rsidRDefault="00525D7A" w:rsidP="00525D7A">
      <w:pPr>
        <w:pStyle w:val="Heading4"/>
        <w:rPr>
          <w:rFonts w:asciiTheme="minorHAnsi" w:hAnsiTheme="minorHAnsi"/>
          <w:i w:val="0"/>
          <w:color w:val="auto"/>
          <w:sz w:val="24"/>
          <w:szCs w:val="24"/>
        </w:rPr>
      </w:pPr>
      <w:r w:rsidRPr="00525D7A">
        <w:rPr>
          <w:i w:val="0"/>
          <w:color w:val="auto"/>
          <w:sz w:val="24"/>
          <w:szCs w:val="24"/>
        </w:rPr>
        <w:t>Code values for Area Management Restriction and Regulation Zones:</w:t>
      </w:r>
    </w:p>
    <w:p w:rsidR="00525D7A" w:rsidRDefault="00525D7A" w:rsidP="00525D7A">
      <w:pPr>
        <w:rPr>
          <w:rFonts w:eastAsia="Times New Roman"/>
          <w:b/>
          <w:sz w:val="20"/>
          <w:szCs w:val="20"/>
        </w:rPr>
      </w:pPr>
      <w:bookmarkStart w:id="0" w:name="environmentaldomain"/>
    </w:p>
    <w:p w:rsidR="00525D7A" w:rsidRPr="006C6F8C" w:rsidRDefault="00525D7A" w:rsidP="00525D7A">
      <w:pPr>
        <w:rPr>
          <w:rFonts w:eastAsia="Times New Roman"/>
          <w:b/>
          <w:sz w:val="20"/>
          <w:szCs w:val="20"/>
        </w:rPr>
      </w:pPr>
      <w:proofErr w:type="spellStart"/>
      <w:r w:rsidRPr="006C6F8C">
        <w:rPr>
          <w:rFonts w:eastAsia="Times New Roman"/>
          <w:b/>
          <w:sz w:val="20"/>
          <w:szCs w:val="20"/>
        </w:rPr>
        <w:t>EnvironmentalDomain</w:t>
      </w:r>
      <w:proofErr w:type="spellEnd"/>
      <w:r>
        <w:rPr>
          <w:rFonts w:eastAsia="Times New Roman"/>
          <w:b/>
          <w:sz w:val="20"/>
          <w:szCs w:val="20"/>
        </w:rPr>
        <w:t xml:space="preserve">: </w:t>
      </w:r>
      <w:r w:rsidRPr="006C6F8C">
        <w:rPr>
          <w:rFonts w:eastAsia="Times New Roman"/>
          <w:sz w:val="20"/>
          <w:szCs w:val="20"/>
        </w:rPr>
        <w:t>Environmental domain, for which environmental objectives can be defined.</w:t>
      </w:r>
    </w:p>
    <w:tbl>
      <w:tblPr>
        <w:tblStyle w:val="TableGrid"/>
        <w:tblW w:w="5000" w:type="pct"/>
        <w:tblLook w:val="04A0" w:firstRow="1" w:lastRow="0" w:firstColumn="1" w:lastColumn="0" w:noHBand="0" w:noVBand="1"/>
      </w:tblPr>
      <w:tblGrid>
        <w:gridCol w:w="1474"/>
        <w:gridCol w:w="8102"/>
      </w:tblGrid>
      <w:tr w:rsidR="00525D7A" w:rsidRPr="002F4469" w:rsidTr="009151D7">
        <w:trPr>
          <w:trHeight w:val="300"/>
        </w:trPr>
        <w:tc>
          <w:tcPr>
            <w:tcW w:w="1474" w:type="dxa"/>
            <w:noWrap/>
            <w:hideMark/>
          </w:tcPr>
          <w:bookmarkEnd w:id="0"/>
          <w:p w:rsidR="00525D7A" w:rsidRPr="002F4469" w:rsidRDefault="00525D7A" w:rsidP="009151D7">
            <w:pPr>
              <w:rPr>
                <w:rFonts w:eastAsia="Times New Roman"/>
                <w:sz w:val="18"/>
                <w:szCs w:val="18"/>
              </w:rPr>
            </w:pPr>
            <w:r w:rsidRPr="002F4469">
              <w:rPr>
                <w:rFonts w:eastAsia="Times New Roman"/>
                <w:sz w:val="18"/>
                <w:szCs w:val="18"/>
              </w:rPr>
              <w:t>soil</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The top layer of the land surface of the earth that is composed of disintegrated rock particles, humus, water and air.</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noise</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Sound which is unwanted, either because of its effects on humans, its effect on fatigue or malfunction of physical equipment, or its interference with the perception or detection of other sounds.</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natural resources</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A feature or component of the natural environment that is of value in serving human needs, e.g. soil, water, plant life, wildlife, etc. Some natural resources have an economic value (e.g. timber) while others have a non-economic value (e.g. scenic beauty).</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climate and climate change</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State of the climate and/or change in this state that can be identified (e.g., by using statistical tests) by changes in the mean and/or the variability of its properties, and that persists for an extended period, typically decades or longer.</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health protection</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Measures or devices designed to reduce the risk of harm to human health posed by pollutants or other threatening conditions in the ecosystem.</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air</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A predominantly mechanical mixture of a variety of individual gases forming the earth's enveloping atmosphere.</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water</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Common liquid (H2O) which forms rain, rivers, the sea, etc., and which makes up a large part of the bodies of organisms.</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waste</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Material, often unusable, left over from any manufacturing, industrial, agricultural or other human process; material damaged or altered during a manufacturing process and subsequently left useless.</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nature and biodiversity</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 xml:space="preserve">Active management of the earth's natural resources and environment to ensure their quality is maintained and that they are </w:t>
            </w:r>
            <w:proofErr w:type="spellStart"/>
            <w:r w:rsidRPr="002F4469">
              <w:rPr>
                <w:rFonts w:eastAsia="Times New Roman"/>
                <w:sz w:val="18"/>
                <w:szCs w:val="18"/>
              </w:rPr>
              <w:t>wisely</w:t>
            </w:r>
            <w:proofErr w:type="spellEnd"/>
            <w:r w:rsidRPr="002F4469">
              <w:rPr>
                <w:rFonts w:eastAsia="Times New Roman"/>
                <w:sz w:val="18"/>
                <w:szCs w:val="18"/>
              </w:rPr>
              <w:t xml:space="preserve"> used.</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sustainable development</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Development that provides economic, social and environmental benefits in the long term having regard to the needs of living and future generations.</w:t>
            </w:r>
          </w:p>
        </w:tc>
      </w:tr>
      <w:tr w:rsidR="00525D7A" w:rsidRPr="002F4469" w:rsidTr="009151D7">
        <w:trPr>
          <w:trHeight w:val="300"/>
        </w:trPr>
        <w:tc>
          <w:tcPr>
            <w:tcW w:w="1474" w:type="dxa"/>
            <w:noWrap/>
            <w:hideMark/>
          </w:tcPr>
          <w:p w:rsidR="00525D7A" w:rsidRPr="002F4469" w:rsidRDefault="00525D7A" w:rsidP="009151D7">
            <w:pPr>
              <w:rPr>
                <w:rFonts w:eastAsia="Times New Roman"/>
                <w:sz w:val="18"/>
                <w:szCs w:val="18"/>
              </w:rPr>
            </w:pPr>
            <w:r w:rsidRPr="002F4469">
              <w:rPr>
                <w:rFonts w:eastAsia="Times New Roman"/>
                <w:sz w:val="18"/>
                <w:szCs w:val="18"/>
              </w:rPr>
              <w:t>land use</w:t>
            </w:r>
          </w:p>
        </w:tc>
        <w:tc>
          <w:tcPr>
            <w:tcW w:w="8102" w:type="dxa"/>
            <w:noWrap/>
            <w:hideMark/>
          </w:tcPr>
          <w:p w:rsidR="00525D7A" w:rsidRPr="002F4469" w:rsidRDefault="00525D7A" w:rsidP="009151D7">
            <w:pPr>
              <w:rPr>
                <w:rFonts w:eastAsia="Times New Roman"/>
                <w:sz w:val="18"/>
                <w:szCs w:val="18"/>
              </w:rPr>
            </w:pPr>
            <w:r w:rsidRPr="002F4469">
              <w:rPr>
                <w:rFonts w:eastAsia="Times New Roman"/>
                <w:sz w:val="18"/>
                <w:szCs w:val="18"/>
              </w:rPr>
              <w:t>The term land use deals with the spatial aspects of all human activities on the land and with the way in which the land surface is adapted, or could be adapted, to serve human needs.</w:t>
            </w:r>
          </w:p>
        </w:tc>
      </w:tr>
    </w:tbl>
    <w:p w:rsidR="00525D7A" w:rsidRDefault="00525D7A" w:rsidP="00525D7A">
      <w:pPr>
        <w:rPr>
          <w:rFonts w:eastAsia="Times New Roman"/>
          <w:sz w:val="24"/>
          <w:szCs w:val="24"/>
        </w:rPr>
      </w:pPr>
    </w:p>
    <w:p w:rsidR="00525D7A" w:rsidRDefault="00525D7A" w:rsidP="00525D7A">
      <w:pPr>
        <w:rPr>
          <w:rFonts w:eastAsia="Times New Roman"/>
          <w:sz w:val="24"/>
          <w:szCs w:val="24"/>
        </w:rPr>
      </w:pPr>
    </w:p>
    <w:p w:rsidR="00525D7A" w:rsidRDefault="00525D7A">
      <w:pPr>
        <w:rPr>
          <w:rFonts w:eastAsia="Times New Roman"/>
          <w:b/>
          <w:sz w:val="20"/>
          <w:szCs w:val="20"/>
        </w:rPr>
      </w:pPr>
      <w:r>
        <w:rPr>
          <w:rFonts w:eastAsia="Times New Roman"/>
          <w:b/>
          <w:sz w:val="20"/>
          <w:szCs w:val="20"/>
        </w:rPr>
        <w:br w:type="page"/>
      </w:r>
    </w:p>
    <w:p w:rsidR="00525D7A" w:rsidRPr="006C6F8C" w:rsidRDefault="00525D7A" w:rsidP="00525D7A">
      <w:pPr>
        <w:rPr>
          <w:rFonts w:eastAsia="Times New Roman"/>
          <w:sz w:val="20"/>
          <w:szCs w:val="20"/>
        </w:rPr>
      </w:pPr>
      <w:proofErr w:type="spellStart"/>
      <w:r w:rsidRPr="006C6F8C">
        <w:rPr>
          <w:rFonts w:eastAsia="Times New Roman"/>
          <w:b/>
          <w:sz w:val="20"/>
          <w:szCs w:val="20"/>
        </w:rPr>
        <w:lastRenderedPageBreak/>
        <w:t>ZoneTypeCode</w:t>
      </w:r>
      <w:proofErr w:type="spellEnd"/>
      <w:r>
        <w:rPr>
          <w:rFonts w:eastAsia="Times New Roman"/>
          <w:b/>
          <w:sz w:val="20"/>
          <w:szCs w:val="20"/>
        </w:rPr>
        <w:t xml:space="preserve">: </w:t>
      </w:r>
      <w:r w:rsidRPr="006C6F8C">
        <w:rPr>
          <w:rFonts w:eastAsia="Times New Roman"/>
          <w:sz w:val="20"/>
          <w:szCs w:val="20"/>
        </w:rPr>
        <w:t>High-level classification defining the type of Management, Restriction or Regulation Zone.</w:t>
      </w:r>
    </w:p>
    <w:tbl>
      <w:tblPr>
        <w:tblStyle w:val="TableGrid"/>
        <w:tblW w:w="0" w:type="auto"/>
        <w:tblLook w:val="04A0" w:firstRow="1" w:lastRow="0" w:firstColumn="1" w:lastColumn="0" w:noHBand="0" w:noVBand="1"/>
      </w:tblPr>
      <w:tblGrid>
        <w:gridCol w:w="2088"/>
        <w:gridCol w:w="7488"/>
      </w:tblGrid>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air quality management zone</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Part of the territory of a Member State, as delimited by that Member State for the purposes of air quality assessment and management.</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noise restriction zone</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An area delimited by a competent authority to manage and mitigate noise pollution. This includes agglomerations and quiet areas (in agglomerations and open country) as defined in the Directive 2002/49/EC of the European Parliament and of the Council.</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animal health restriction zone</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 xml:space="preserve">Restriction zones established for the control and eradication of </w:t>
            </w:r>
            <w:proofErr w:type="spellStart"/>
            <w:r w:rsidRPr="002F4469">
              <w:rPr>
                <w:rFonts w:eastAsia="Times New Roman"/>
                <w:sz w:val="18"/>
                <w:szCs w:val="18"/>
              </w:rPr>
              <w:t>notifiable</w:t>
            </w:r>
            <w:proofErr w:type="spellEnd"/>
            <w:r w:rsidRPr="002F4469">
              <w:rPr>
                <w:rFonts w:eastAsia="Times New Roman"/>
                <w:sz w:val="18"/>
                <w:szCs w:val="18"/>
              </w:rPr>
              <w:t xml:space="preserve"> animal diseases.</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prospecting and mining permit area</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 xml:space="preserve">The area on which the prospection or extraction of any mineral has been </w:t>
            </w:r>
            <w:proofErr w:type="spellStart"/>
            <w:r w:rsidRPr="002F4469">
              <w:rPr>
                <w:rFonts w:eastAsia="Times New Roman"/>
                <w:sz w:val="18"/>
                <w:szCs w:val="18"/>
              </w:rPr>
              <w:t>authorised</w:t>
            </w:r>
            <w:proofErr w:type="spellEnd"/>
            <w:r w:rsidRPr="002F4469">
              <w:rPr>
                <w:rFonts w:eastAsia="Times New Roman"/>
                <w:sz w:val="18"/>
                <w:szCs w:val="18"/>
              </w:rPr>
              <w:t xml:space="preserve"> and for which that right or permit is granted.</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regulated fairway at Sea or large inland water</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 xml:space="preserve">Regulated navigation areas port-to-port established to </w:t>
            </w:r>
            <w:proofErr w:type="spellStart"/>
            <w:r w:rsidRPr="002F4469">
              <w:rPr>
                <w:rFonts w:eastAsia="Times New Roman"/>
                <w:sz w:val="18"/>
                <w:szCs w:val="18"/>
              </w:rPr>
              <w:t>organise</w:t>
            </w:r>
            <w:proofErr w:type="spellEnd"/>
            <w:r w:rsidRPr="002F4469">
              <w:rPr>
                <w:rFonts w:eastAsia="Times New Roman"/>
                <w:sz w:val="18"/>
                <w:szCs w:val="18"/>
              </w:rPr>
              <w:t xml:space="preserve"> traffic, prevent accident and pollution and to support management and planning.</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restricted zones around contaminated sites</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Zones established to protect human, plant and animal health and control movement and development within a contaminated site.</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area for disposal of waste</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Area affected by disposal of waste as defined in Article 3(19) of Directive 2008/98/</w:t>
            </w:r>
            <w:proofErr w:type="gramStart"/>
            <w:r w:rsidRPr="002F4469">
              <w:rPr>
                <w:rFonts w:eastAsia="Times New Roman"/>
                <w:sz w:val="18"/>
                <w:szCs w:val="18"/>
              </w:rPr>
              <w:t>EC[</w:t>
            </w:r>
            <w:proofErr w:type="gramEnd"/>
            <w:r w:rsidRPr="002F4469">
              <w:rPr>
                <w:rFonts w:eastAsia="Times New Roman"/>
                <w:sz w:val="18"/>
                <w:szCs w:val="18"/>
              </w:rPr>
              <w:t>1].</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coastal zone management area</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Area in which integrated coastal zone management takes place.</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drinking water protection area</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Area in which waste water leakage, use of fertilizer or pesticides, or establishment of waste disposal sites are prohibited.</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nitrate vulnerable zone</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Areas of land which drain into polluted or threatened waters and which contribute to nitrate pollution.</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marine region</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 xml:space="preserve">Marine regions and their </w:t>
            </w:r>
            <w:proofErr w:type="spellStart"/>
            <w:r w:rsidRPr="002F4469">
              <w:rPr>
                <w:rFonts w:eastAsia="Times New Roman"/>
                <w:sz w:val="18"/>
                <w:szCs w:val="18"/>
              </w:rPr>
              <w:t>subregions</w:t>
            </w:r>
            <w:proofErr w:type="spellEnd"/>
            <w:r w:rsidRPr="002F4469">
              <w:rPr>
                <w:rFonts w:eastAsia="Times New Roman"/>
                <w:sz w:val="18"/>
                <w:szCs w:val="18"/>
              </w:rPr>
              <w:t xml:space="preserve"> are sea regions designated under international, Union, national or sub-national legislation for the purpose of assessment, management and regulation.</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river basin district</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 xml:space="preserve">Area of land and sea, made up of one or more </w:t>
            </w:r>
            <w:proofErr w:type="spellStart"/>
            <w:r w:rsidRPr="002F4469">
              <w:rPr>
                <w:rFonts w:eastAsia="Times New Roman"/>
                <w:sz w:val="18"/>
                <w:szCs w:val="18"/>
              </w:rPr>
              <w:t>neighbouring</w:t>
            </w:r>
            <w:proofErr w:type="spellEnd"/>
            <w:r w:rsidRPr="002F4469">
              <w:rPr>
                <w:rFonts w:eastAsia="Times New Roman"/>
                <w:sz w:val="18"/>
                <w:szCs w:val="18"/>
              </w:rPr>
              <w:t xml:space="preserve"> river basins together with their associated </w:t>
            </w:r>
            <w:proofErr w:type="spellStart"/>
            <w:r w:rsidRPr="002F4469">
              <w:rPr>
                <w:rFonts w:eastAsia="Times New Roman"/>
                <w:sz w:val="18"/>
                <w:szCs w:val="18"/>
              </w:rPr>
              <w:t>groundwaters</w:t>
            </w:r>
            <w:proofErr w:type="spellEnd"/>
            <w:r w:rsidRPr="002F4469">
              <w:rPr>
                <w:rFonts w:eastAsia="Times New Roman"/>
                <w:sz w:val="18"/>
                <w:szCs w:val="18"/>
              </w:rPr>
              <w:t xml:space="preserve"> and coastal waters, identified under Article 3(1) of Directive 2000/60/</w:t>
            </w:r>
            <w:proofErr w:type="gramStart"/>
            <w:r w:rsidRPr="002F4469">
              <w:rPr>
                <w:rFonts w:eastAsia="Times New Roman"/>
                <w:sz w:val="18"/>
                <w:szCs w:val="18"/>
              </w:rPr>
              <w:t>EC[</w:t>
            </w:r>
            <w:proofErr w:type="gramEnd"/>
            <w:r w:rsidRPr="002F4469">
              <w:rPr>
                <w:rFonts w:eastAsia="Times New Roman"/>
                <w:sz w:val="18"/>
                <w:szCs w:val="18"/>
              </w:rPr>
              <w:t>2] as the main unit for management of river basins.</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bathing waters</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 xml:space="preserve">Coastal waters or inland waters (rivers, lakes) explicitly </w:t>
            </w:r>
            <w:proofErr w:type="spellStart"/>
            <w:r w:rsidRPr="002F4469">
              <w:rPr>
                <w:rFonts w:eastAsia="Times New Roman"/>
                <w:sz w:val="18"/>
                <w:szCs w:val="18"/>
              </w:rPr>
              <w:t>authorised</w:t>
            </w:r>
            <w:proofErr w:type="spellEnd"/>
            <w:r w:rsidRPr="002F4469">
              <w:rPr>
                <w:rFonts w:eastAsia="Times New Roman"/>
                <w:sz w:val="18"/>
                <w:szCs w:val="18"/>
              </w:rPr>
              <w:t>, or not prohibited for recreational bathing by large numbers of people.</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flood unit of management</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Area of land and sea, identified under Directive 2007/60/EC of the European Parliament and Council[3] as the main unit for management when an alternative to the River Basin Districts or Sub-Districts are chosen.</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water body under the Water Framework Directive (2000/60/EC)</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The “water body” is a coherent sub-unit in the river basin (district) to which the environmental objectives of the Directive 2000/60/EC must apply. The identification of water bodies is based on geographical and hydrological determinants. This includes surface (river, lake, transitional and coastal) and ground water bodies.</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sensitive area</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Water bodies identified as sensitive areas, as defined in Annex II to Directive 91/271/</w:t>
            </w:r>
            <w:proofErr w:type="gramStart"/>
            <w:r w:rsidRPr="002F4469">
              <w:rPr>
                <w:rFonts w:eastAsia="Times New Roman"/>
                <w:sz w:val="18"/>
                <w:szCs w:val="18"/>
              </w:rPr>
              <w:t>EEC[</w:t>
            </w:r>
            <w:proofErr w:type="gramEnd"/>
            <w:r w:rsidRPr="002F4469">
              <w:rPr>
                <w:rFonts w:eastAsia="Times New Roman"/>
                <w:sz w:val="18"/>
                <w:szCs w:val="18"/>
              </w:rPr>
              <w:t>4].</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designated waters</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Marine, coastal or surface waters designated by Member States as needing protection or improvement in order to support fish life.</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plant health protection zone</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Protection zone within which protective measures are established against the introduction of organisms harmful to plants or plant products and against their spread.</w:t>
            </w:r>
          </w:p>
        </w:tc>
      </w:tr>
      <w:tr w:rsidR="00525D7A" w:rsidRPr="002F4469" w:rsidTr="009151D7">
        <w:tc>
          <w:tcPr>
            <w:tcW w:w="2088" w:type="dxa"/>
          </w:tcPr>
          <w:p w:rsidR="00525D7A" w:rsidRPr="002F4469" w:rsidRDefault="00525D7A" w:rsidP="009151D7">
            <w:pPr>
              <w:rPr>
                <w:rFonts w:eastAsia="Times New Roman"/>
                <w:sz w:val="18"/>
                <w:szCs w:val="18"/>
              </w:rPr>
            </w:pPr>
            <w:r w:rsidRPr="002F4469">
              <w:rPr>
                <w:rFonts w:eastAsia="Times New Roman"/>
                <w:sz w:val="18"/>
                <w:szCs w:val="18"/>
              </w:rPr>
              <w:t>forest management area</w:t>
            </w:r>
          </w:p>
        </w:tc>
        <w:tc>
          <w:tcPr>
            <w:tcW w:w="7488" w:type="dxa"/>
          </w:tcPr>
          <w:p w:rsidR="00525D7A" w:rsidRPr="002F4469" w:rsidRDefault="00525D7A" w:rsidP="009151D7">
            <w:pPr>
              <w:rPr>
                <w:rFonts w:eastAsia="Times New Roman"/>
                <w:sz w:val="18"/>
                <w:szCs w:val="18"/>
              </w:rPr>
            </w:pPr>
            <w:r w:rsidRPr="002F4469">
              <w:rPr>
                <w:rFonts w:eastAsia="Times New Roman"/>
                <w:sz w:val="18"/>
                <w:szCs w:val="18"/>
              </w:rPr>
              <w:t>Area designated for the sustainable management of forest resources and functions.</w:t>
            </w:r>
          </w:p>
        </w:tc>
      </w:tr>
    </w:tbl>
    <w:p w:rsidR="00FB5726" w:rsidRDefault="00FB5726" w:rsidP="006C6F8C">
      <w:pPr>
        <w:spacing w:after="0"/>
        <w:rPr>
          <w:sz w:val="24"/>
        </w:rPr>
      </w:pPr>
    </w:p>
    <w:p w:rsidR="00FC0552" w:rsidRDefault="00FC0552" w:rsidP="006C6F8C">
      <w:pPr>
        <w:spacing w:after="0"/>
        <w:rPr>
          <w:sz w:val="24"/>
        </w:rPr>
      </w:pPr>
    </w:p>
    <w:p w:rsidR="00FC0552" w:rsidRDefault="00FC0552">
      <w:pPr>
        <w:rPr>
          <w:b/>
          <w:szCs w:val="20"/>
        </w:rPr>
      </w:pPr>
      <w:r>
        <w:rPr>
          <w:b/>
          <w:szCs w:val="20"/>
        </w:rPr>
        <w:br w:type="page"/>
      </w:r>
    </w:p>
    <w:p w:rsidR="00FC0552" w:rsidRPr="00784448" w:rsidRDefault="00FC0552" w:rsidP="00FC0552">
      <w:pPr>
        <w:spacing w:after="0"/>
        <w:rPr>
          <w:szCs w:val="20"/>
        </w:rPr>
      </w:pPr>
      <w:r w:rsidRPr="00A5742E">
        <w:rPr>
          <w:b/>
          <w:szCs w:val="20"/>
        </w:rPr>
        <w:lastRenderedPageBreak/>
        <w:t xml:space="preserve">Option </w:t>
      </w:r>
      <w:r>
        <w:rPr>
          <w:b/>
          <w:szCs w:val="20"/>
        </w:rPr>
        <w:t>2</w:t>
      </w:r>
      <w:r w:rsidRPr="00A5742E">
        <w:rPr>
          <w:b/>
          <w:szCs w:val="20"/>
        </w:rPr>
        <w:t xml:space="preserve">) </w:t>
      </w:r>
      <w:r>
        <w:rPr>
          <w:b/>
          <w:szCs w:val="20"/>
        </w:rPr>
        <w:t xml:space="preserve">specification – subtyping of </w:t>
      </w:r>
      <w:r w:rsidR="00784448">
        <w:rPr>
          <w:b/>
          <w:szCs w:val="20"/>
        </w:rPr>
        <w:t xml:space="preserve">the </w:t>
      </w:r>
      <w:r>
        <w:rPr>
          <w:b/>
          <w:szCs w:val="20"/>
        </w:rPr>
        <w:t>g</w:t>
      </w:r>
      <w:r w:rsidRPr="00A5742E">
        <w:rPr>
          <w:b/>
          <w:szCs w:val="20"/>
        </w:rPr>
        <w:t xml:space="preserve">eneric “Area Management Unit” </w:t>
      </w:r>
      <w:r w:rsidRPr="00784448">
        <w:rPr>
          <w:szCs w:val="20"/>
        </w:rPr>
        <w:t>example from INSPIRE</w:t>
      </w:r>
    </w:p>
    <w:p w:rsidR="00FB5726" w:rsidRDefault="00FB5726" w:rsidP="00FB5726">
      <w:pPr>
        <w:keepNext/>
        <w:spacing w:after="0"/>
      </w:pPr>
      <w:r>
        <w:rPr>
          <w:noProof/>
          <w:lang w:eastAsia="zh-CN"/>
        </w:rPr>
        <w:drawing>
          <wp:inline distT="0" distB="0" distL="0" distR="0" wp14:anchorId="32B6DB40" wp14:editId="2C05F1EE">
            <wp:extent cx="4895850" cy="572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5724525"/>
                    </a:xfrm>
                    <a:prstGeom prst="rect">
                      <a:avLst/>
                    </a:prstGeom>
                    <a:noFill/>
                    <a:ln>
                      <a:noFill/>
                    </a:ln>
                  </pic:spPr>
                </pic:pic>
              </a:graphicData>
            </a:graphic>
          </wp:inline>
        </w:drawing>
      </w:r>
    </w:p>
    <w:p w:rsidR="00FB5726" w:rsidRPr="00E03E42" w:rsidRDefault="00FB5726" w:rsidP="00FB5726">
      <w:pPr>
        <w:pStyle w:val="Caption"/>
        <w:rPr>
          <w:sz w:val="24"/>
        </w:rPr>
      </w:pPr>
      <w:r>
        <w:t xml:space="preserve">Figure </w:t>
      </w:r>
      <w:fldSimple w:instr=" SEQ Figure \* ARABIC ">
        <w:r w:rsidR="00155CDF">
          <w:rPr>
            <w:noProof/>
          </w:rPr>
          <w:t>3</w:t>
        </w:r>
      </w:fldSimple>
      <w:r>
        <w:t xml:space="preserve">: </w:t>
      </w:r>
      <w:r w:rsidRPr="00A4661E">
        <w:t>UML class diagram: Relationships between the Water Framework Directive application schema and the spatial data themes Hydrography and Geology</w:t>
      </w:r>
    </w:p>
    <w:p w:rsidR="00082593" w:rsidRDefault="00FC0552" w:rsidP="00490216">
      <w:r>
        <w:rPr>
          <w:szCs w:val="20"/>
        </w:rPr>
        <w:t xml:space="preserve">In both cases information about legal or other relevant documentation of the area management unit is provided via two generic classes: </w:t>
      </w:r>
      <w:proofErr w:type="spellStart"/>
      <w:r>
        <w:rPr>
          <w:szCs w:val="20"/>
        </w:rPr>
        <w:t>LegislationCitation</w:t>
      </w:r>
      <w:proofErr w:type="spellEnd"/>
      <w:r>
        <w:rPr>
          <w:szCs w:val="20"/>
        </w:rPr>
        <w:t xml:space="preserve"> and a </w:t>
      </w:r>
      <w:proofErr w:type="spellStart"/>
      <w:r>
        <w:rPr>
          <w:szCs w:val="20"/>
        </w:rPr>
        <w:t>DocumentCitation</w:t>
      </w:r>
      <w:proofErr w:type="spellEnd"/>
      <w:r w:rsidR="00784448">
        <w:rPr>
          <w:szCs w:val="20"/>
        </w:rPr>
        <w:t xml:space="preserve"> (</w:t>
      </w:r>
      <w:r w:rsidR="00784448" w:rsidRPr="00784448">
        <w:rPr>
          <w:b/>
          <w:i/>
          <w:szCs w:val="20"/>
        </w:rPr>
        <w:t xml:space="preserve">see </w:t>
      </w:r>
      <w:r w:rsidR="00784448">
        <w:rPr>
          <w:b/>
          <w:i/>
          <w:szCs w:val="20"/>
        </w:rPr>
        <w:t xml:space="preserve">in </w:t>
      </w:r>
      <w:r w:rsidR="00784448" w:rsidRPr="00784448">
        <w:rPr>
          <w:b/>
          <w:i/>
          <w:szCs w:val="20"/>
        </w:rPr>
        <w:t>the option1 UML diagram)</w:t>
      </w:r>
      <w:r>
        <w:rPr>
          <w:szCs w:val="20"/>
        </w:rPr>
        <w:t>. For GWML we can also follow this modeling approach which is again very flexible.</w:t>
      </w:r>
    </w:p>
    <w:p w:rsidR="00784448" w:rsidRDefault="00784448">
      <w:pPr>
        <w:rPr>
          <w:rFonts w:asciiTheme="majorHAnsi" w:eastAsiaTheme="majorEastAsia" w:hAnsiTheme="majorHAnsi" w:cstheme="majorBidi"/>
          <w:b/>
          <w:bCs/>
          <w:i/>
          <w:iCs/>
          <w:sz w:val="24"/>
          <w:szCs w:val="24"/>
        </w:rPr>
      </w:pPr>
      <w:r>
        <w:rPr>
          <w:sz w:val="24"/>
          <w:szCs w:val="24"/>
        </w:rPr>
        <w:br w:type="page"/>
      </w:r>
    </w:p>
    <w:p w:rsidR="007E5E63" w:rsidRPr="00FC0552" w:rsidRDefault="007E5E63" w:rsidP="007E5E63">
      <w:pPr>
        <w:pStyle w:val="Heading4"/>
        <w:rPr>
          <w:color w:val="auto"/>
          <w:sz w:val="24"/>
          <w:szCs w:val="24"/>
        </w:rPr>
      </w:pPr>
      <w:proofErr w:type="spellStart"/>
      <w:r w:rsidRPr="00FC0552">
        <w:rPr>
          <w:color w:val="auto"/>
          <w:sz w:val="24"/>
          <w:szCs w:val="24"/>
        </w:rPr>
        <w:lastRenderedPageBreak/>
        <w:t>Conlusion</w:t>
      </w:r>
      <w:proofErr w:type="spellEnd"/>
    </w:p>
    <w:p w:rsidR="007E5E63" w:rsidRPr="00AE2F9E" w:rsidRDefault="00FC0552" w:rsidP="007E5E63">
      <w:pPr>
        <w:rPr>
          <w:sz w:val="20"/>
          <w:szCs w:val="20"/>
        </w:rPr>
      </w:pPr>
      <w:r>
        <w:rPr>
          <w:sz w:val="20"/>
          <w:szCs w:val="20"/>
        </w:rPr>
        <w:t>In case of taking option 1) we do not need all identified concepts (e.g.</w:t>
      </w:r>
      <w:r w:rsidR="007E5E63" w:rsidRPr="00AE2F9E">
        <w:rPr>
          <w:sz w:val="20"/>
          <w:szCs w:val="20"/>
        </w:rPr>
        <w:t xml:space="preserve">: Protected Area, Groundwater Management Zone, </w:t>
      </w:r>
      <w:proofErr w:type="gramStart"/>
      <w:r w:rsidR="007E5E63" w:rsidRPr="00AE2F9E">
        <w:rPr>
          <w:sz w:val="20"/>
          <w:szCs w:val="20"/>
        </w:rPr>
        <w:t>Groundwater</w:t>
      </w:r>
      <w:proofErr w:type="gramEnd"/>
      <w:r w:rsidR="007E5E63" w:rsidRPr="00AE2F9E">
        <w:rPr>
          <w:sz w:val="20"/>
          <w:szCs w:val="20"/>
        </w:rPr>
        <w:t xml:space="preserve"> Basin</w:t>
      </w:r>
      <w:r>
        <w:rPr>
          <w:sz w:val="20"/>
          <w:szCs w:val="20"/>
        </w:rPr>
        <w:t xml:space="preserve">). Instead </w:t>
      </w:r>
      <w:r w:rsidR="00784448">
        <w:rPr>
          <w:sz w:val="20"/>
          <w:szCs w:val="20"/>
        </w:rPr>
        <w:t xml:space="preserve">only </w:t>
      </w:r>
      <w:r>
        <w:rPr>
          <w:sz w:val="20"/>
          <w:szCs w:val="20"/>
        </w:rPr>
        <w:t xml:space="preserve">one generic class with </w:t>
      </w:r>
      <w:r w:rsidR="00784448">
        <w:rPr>
          <w:sz w:val="20"/>
          <w:szCs w:val="20"/>
        </w:rPr>
        <w:t>a “</w:t>
      </w:r>
      <w:r>
        <w:rPr>
          <w:sz w:val="20"/>
          <w:szCs w:val="20"/>
        </w:rPr>
        <w:t>Type of Area unit</w:t>
      </w:r>
      <w:r w:rsidR="00784448">
        <w:rPr>
          <w:sz w:val="20"/>
          <w:szCs w:val="20"/>
        </w:rPr>
        <w:t>”</w:t>
      </w:r>
      <w:r>
        <w:rPr>
          <w:sz w:val="20"/>
          <w:szCs w:val="20"/>
        </w:rPr>
        <w:t xml:space="preserve"> code list(s) can be used. </w:t>
      </w:r>
      <w:r w:rsidR="007E5E63" w:rsidRPr="00AE2F9E">
        <w:rPr>
          <w:sz w:val="20"/>
          <w:szCs w:val="20"/>
        </w:rPr>
        <w:t xml:space="preserve"> </w:t>
      </w:r>
      <w:r w:rsidR="00784448">
        <w:rPr>
          <w:sz w:val="20"/>
          <w:szCs w:val="20"/>
        </w:rPr>
        <w:t>In case of taking option 2) we can define 3 different subtypes of generic area management unit (</w:t>
      </w:r>
      <w:r w:rsidR="007E5E63" w:rsidRPr="00AE2F9E">
        <w:rPr>
          <w:sz w:val="20"/>
          <w:szCs w:val="20"/>
        </w:rPr>
        <w:t xml:space="preserve">Protected </w:t>
      </w:r>
      <w:r w:rsidR="00784448">
        <w:rPr>
          <w:sz w:val="20"/>
          <w:szCs w:val="20"/>
        </w:rPr>
        <w:t xml:space="preserve">Area, groundwater management zone and river basin districts (?).  </w:t>
      </w:r>
      <w:r w:rsidR="007E5E63" w:rsidRPr="00AE2F9E">
        <w:rPr>
          <w:sz w:val="20"/>
          <w:szCs w:val="20"/>
        </w:rPr>
        <w:t>Area – is/ could be covered by the INSPIRE application schema ‘</w:t>
      </w:r>
      <w:proofErr w:type="spellStart"/>
      <w:r w:rsidR="007E5E63" w:rsidRPr="00AE2F9E">
        <w:rPr>
          <w:sz w:val="20"/>
          <w:szCs w:val="20"/>
        </w:rPr>
        <w:t>ProtectedSide</w:t>
      </w:r>
      <w:proofErr w:type="spellEnd"/>
      <w:r w:rsidR="007E5E63" w:rsidRPr="00AE2F9E">
        <w:rPr>
          <w:sz w:val="20"/>
          <w:szCs w:val="20"/>
        </w:rPr>
        <w:t>’ (generic concept)</w:t>
      </w:r>
      <w:r w:rsidR="00784448">
        <w:rPr>
          <w:sz w:val="20"/>
          <w:szCs w:val="20"/>
        </w:rPr>
        <w:t xml:space="preserve">. In this case we see the Groundwater basin concept as not necessary, because it is not defined by the administrative or political boundaries. </w:t>
      </w:r>
    </w:p>
    <w:p w:rsidR="00AE2F9E" w:rsidRDefault="00AE2F9E" w:rsidP="007E5E63">
      <w:pPr>
        <w:rPr>
          <w:sz w:val="20"/>
          <w:szCs w:val="20"/>
        </w:rPr>
      </w:pPr>
    </w:p>
    <w:p w:rsidR="00914A1B" w:rsidRPr="00914A1B" w:rsidRDefault="00914A1B" w:rsidP="00914A1B">
      <w:pPr>
        <w:rPr>
          <w:sz w:val="20"/>
          <w:szCs w:val="20"/>
        </w:rPr>
      </w:pPr>
      <w:r>
        <w:rPr>
          <w:sz w:val="20"/>
          <w:szCs w:val="20"/>
        </w:rPr>
        <w:br w:type="page"/>
      </w:r>
    </w:p>
    <w:p w:rsidR="00914A1B" w:rsidRPr="00914A1B" w:rsidRDefault="00914A1B" w:rsidP="00914A1B">
      <w:pPr>
        <w:keepNext/>
        <w:keepLines/>
        <w:spacing w:before="200" w:after="0"/>
        <w:outlineLvl w:val="3"/>
        <w:rPr>
          <w:rFonts w:asciiTheme="majorHAnsi" w:eastAsiaTheme="majorEastAsia" w:hAnsiTheme="majorHAnsi" w:cstheme="majorBidi"/>
          <w:b/>
          <w:bCs/>
          <w:i/>
          <w:iCs/>
          <w:sz w:val="28"/>
          <w:szCs w:val="28"/>
        </w:rPr>
      </w:pPr>
      <w:r w:rsidRPr="00914A1B">
        <w:rPr>
          <w:rFonts w:asciiTheme="majorHAnsi" w:eastAsiaTheme="majorEastAsia" w:hAnsiTheme="majorHAnsi" w:cstheme="majorBidi"/>
          <w:b/>
          <w:bCs/>
          <w:i/>
          <w:iCs/>
          <w:sz w:val="28"/>
          <w:szCs w:val="28"/>
        </w:rPr>
        <w:lastRenderedPageBreak/>
        <w:t xml:space="preserve">Annex 1) Definitions and discussions from our GWML TWIKI </w:t>
      </w:r>
    </w:p>
    <w:p w:rsidR="00914A1B" w:rsidRPr="00914A1B" w:rsidRDefault="00914A1B" w:rsidP="00914A1B">
      <w:pPr>
        <w:keepNext/>
        <w:keepLines/>
        <w:spacing w:before="200" w:after="0"/>
        <w:outlineLvl w:val="3"/>
        <w:rPr>
          <w:rFonts w:asciiTheme="majorHAnsi" w:eastAsiaTheme="majorEastAsia" w:hAnsiTheme="majorHAnsi" w:cstheme="majorBidi"/>
          <w:b/>
          <w:bCs/>
          <w:i/>
          <w:iCs/>
          <w:color w:val="4F81BD" w:themeColor="accent1"/>
        </w:rPr>
      </w:pPr>
      <w:r w:rsidRPr="00914A1B">
        <w:rPr>
          <w:rFonts w:asciiTheme="majorHAnsi" w:eastAsiaTheme="majorEastAsia" w:hAnsiTheme="majorHAnsi" w:cstheme="majorBidi"/>
          <w:b/>
          <w:bCs/>
          <w:i/>
          <w:iCs/>
          <w:color w:val="4F81BD" w:themeColor="accent1"/>
        </w:rPr>
        <w:t>Protected Area</w:t>
      </w:r>
    </w:p>
    <w:p w:rsidR="00914A1B" w:rsidRPr="00914A1B" w:rsidRDefault="00914A1B" w:rsidP="00914A1B">
      <w:pPr>
        <w:spacing w:after="0"/>
        <w:rPr>
          <w:sz w:val="20"/>
          <w:szCs w:val="20"/>
        </w:rPr>
      </w:pPr>
    </w:p>
    <w:p w:rsidR="00914A1B" w:rsidRPr="00914A1B" w:rsidRDefault="00914A1B" w:rsidP="00914A1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b/>
          <w:color w:val="365F91" w:themeColor="accent1" w:themeShade="BF"/>
          <w:sz w:val="20"/>
          <w:szCs w:val="20"/>
        </w:rPr>
      </w:pPr>
      <w:r w:rsidRPr="00914A1B">
        <w:rPr>
          <w:b/>
          <w:color w:val="365F91" w:themeColor="accent1" w:themeShade="BF"/>
          <w:sz w:val="20"/>
          <w:szCs w:val="20"/>
        </w:rPr>
        <w:t>Protected sites</w:t>
      </w:r>
    </w:p>
    <w:p w:rsidR="00914A1B" w:rsidRPr="00914A1B" w:rsidRDefault="00914A1B" w:rsidP="00914A1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365F91" w:themeColor="accent1" w:themeShade="BF"/>
          <w:sz w:val="20"/>
          <w:szCs w:val="20"/>
        </w:rPr>
      </w:pPr>
      <w:r w:rsidRPr="00914A1B">
        <w:rPr>
          <w:color w:val="365F91" w:themeColor="accent1" w:themeShade="BF"/>
          <w:sz w:val="20"/>
          <w:szCs w:val="20"/>
        </w:rPr>
        <w:t>An area designated or managed within a framework of international, Community and Member States' legislation to achieve specific conservation objectives. (Protected sites – INSPIRE)</w:t>
      </w:r>
    </w:p>
    <w:p w:rsidR="00914A1B" w:rsidRPr="00914A1B" w:rsidRDefault="00914A1B" w:rsidP="00914A1B">
      <w:pPr>
        <w:spacing w:after="0"/>
        <w:rPr>
          <w:color w:val="365F91" w:themeColor="accent1" w:themeShade="BF"/>
        </w:rPr>
      </w:pPr>
    </w:p>
    <w:tbl>
      <w:tblPr>
        <w:tblStyle w:val="TableGrid"/>
        <w:tblW w:w="0" w:type="auto"/>
        <w:tblLook w:val="04A0" w:firstRow="1" w:lastRow="0" w:firstColumn="1" w:lastColumn="0" w:noHBand="0" w:noVBand="1"/>
      </w:tblPr>
      <w:tblGrid>
        <w:gridCol w:w="9576"/>
      </w:tblGrid>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COMMENT: in this place I see two different concepts:</w:t>
            </w:r>
          </w:p>
          <w:p w:rsidR="00914A1B" w:rsidRPr="00914A1B" w:rsidRDefault="00914A1B" w:rsidP="00914A1B">
            <w:pPr>
              <w:spacing w:after="200" w:line="276" w:lineRule="auto"/>
              <w:rPr>
                <w:sz w:val="20"/>
                <w:szCs w:val="20"/>
              </w:rPr>
            </w:pPr>
            <w:r w:rsidRPr="00914A1B">
              <w:rPr>
                <w:sz w:val="20"/>
                <w:szCs w:val="20"/>
              </w:rPr>
              <w:t>Area of Groundwater Protection – the first definition.</w:t>
            </w:r>
          </w:p>
          <w:p w:rsidR="00914A1B" w:rsidRPr="00914A1B" w:rsidRDefault="00914A1B" w:rsidP="00914A1B">
            <w:pPr>
              <w:spacing w:after="200" w:line="276" w:lineRule="auto"/>
              <w:rPr>
                <w:sz w:val="20"/>
                <w:szCs w:val="20"/>
              </w:rPr>
            </w:pPr>
            <w:r w:rsidRPr="00914A1B">
              <w:rPr>
                <w:sz w:val="20"/>
                <w:szCs w:val="20"/>
              </w:rPr>
              <w:t>Protected Site – the second definition (it can be planar, linear or point), for example: national parks, nature or heritage reserves, wetland protection etc. [JM]</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COMMENT: In INSPIRE Protected Site refers to any protected site – not just those to do with water resources. It also requires there be protecting legislation (which I would think is required in any definition or there isn’t any protection?). [JL]</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COMMENT[ID]: I think this is special to INSPIRE and not subject of a generally applicable GWML</w:t>
            </w:r>
          </w:p>
          <w:p w:rsidR="00914A1B" w:rsidRPr="00914A1B" w:rsidRDefault="00914A1B" w:rsidP="00914A1B">
            <w:pPr>
              <w:spacing w:after="200" w:line="276" w:lineRule="auto"/>
              <w:rPr>
                <w:color w:val="365F91" w:themeColor="accent1" w:themeShade="BF"/>
              </w:rPr>
            </w:pPr>
          </w:p>
        </w:tc>
      </w:tr>
      <w:tr w:rsidR="00914A1B" w:rsidRPr="00914A1B" w:rsidTr="009151D7">
        <w:tc>
          <w:tcPr>
            <w:tcW w:w="9576" w:type="dxa"/>
          </w:tcPr>
          <w:p w:rsidR="00914A1B" w:rsidRPr="00914A1B" w:rsidRDefault="00914A1B" w:rsidP="00914A1B">
            <w:pPr>
              <w:spacing w:after="200" w:line="276" w:lineRule="auto"/>
            </w:pPr>
            <w:r w:rsidRPr="00914A1B">
              <w:t xml:space="preserve">The surface and subsurface area surrounding </w:t>
            </w:r>
            <w:proofErr w:type="gramStart"/>
            <w:r w:rsidRPr="00914A1B">
              <w:t>a water</w:t>
            </w:r>
            <w:proofErr w:type="gramEnd"/>
            <w:r w:rsidRPr="00914A1B">
              <w:t xml:space="preserve"> well or </w:t>
            </w:r>
            <w:proofErr w:type="spellStart"/>
            <w:r w:rsidRPr="00914A1B">
              <w:t>wellfield</w:t>
            </w:r>
            <w:proofErr w:type="spellEnd"/>
            <w:r w:rsidRPr="00914A1B">
              <w:t xml:space="preserve"> through which contaminants are reasonably likely to move toward and reach such water well or well field. </w:t>
            </w:r>
            <w:hyperlink r:id="rId10" w:tgtFrame="_top" w:history="1">
              <w:r w:rsidRPr="00914A1B">
                <w:rPr>
                  <w:color w:val="0000FF"/>
                  <w:u w:val="single"/>
                </w:rPr>
                <w:t>http://www.wrds.uwyo.edu/wrds/deq/whp/whpgloss.html</w:t>
              </w:r>
            </w:hyperlink>
          </w:p>
        </w:tc>
      </w:tr>
    </w:tbl>
    <w:p w:rsidR="00914A1B" w:rsidRPr="00914A1B" w:rsidRDefault="00914A1B" w:rsidP="00914A1B">
      <w:pPr>
        <w:spacing w:after="0"/>
        <w:rPr>
          <w:sz w:val="20"/>
          <w:szCs w:val="20"/>
        </w:rPr>
      </w:pPr>
    </w:p>
    <w:p w:rsidR="00914A1B" w:rsidRPr="00914A1B" w:rsidRDefault="00914A1B" w:rsidP="00914A1B">
      <w:pPr>
        <w:keepNext/>
        <w:keepLines/>
        <w:spacing w:before="200" w:after="0"/>
        <w:outlineLvl w:val="3"/>
        <w:rPr>
          <w:rFonts w:asciiTheme="majorHAnsi" w:eastAsiaTheme="majorEastAsia" w:hAnsiTheme="majorHAnsi" w:cstheme="majorBidi"/>
          <w:b/>
          <w:bCs/>
          <w:i/>
          <w:iCs/>
          <w:color w:val="4F81BD" w:themeColor="accent1"/>
        </w:rPr>
      </w:pPr>
      <w:r w:rsidRPr="00914A1B">
        <w:rPr>
          <w:rFonts w:asciiTheme="majorHAnsi" w:eastAsiaTheme="majorEastAsia" w:hAnsiTheme="majorHAnsi" w:cstheme="majorBidi"/>
          <w:b/>
          <w:bCs/>
          <w:i/>
          <w:iCs/>
          <w:color w:val="4F81BD" w:themeColor="accent1"/>
        </w:rPr>
        <w:t>Groundwater Management Zone</w:t>
      </w:r>
    </w:p>
    <w:p w:rsidR="00914A1B" w:rsidRPr="00914A1B" w:rsidRDefault="00914A1B" w:rsidP="00914A1B">
      <w:pPr>
        <w:spacing w:after="0"/>
        <w:rPr>
          <w:sz w:val="20"/>
          <w:szCs w:val="20"/>
        </w:rPr>
      </w:pPr>
    </w:p>
    <w:p w:rsidR="00914A1B" w:rsidRPr="00914A1B" w:rsidRDefault="00914A1B" w:rsidP="00914A1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365F91" w:themeColor="accent1" w:themeShade="BF"/>
          <w:sz w:val="20"/>
          <w:szCs w:val="20"/>
          <w:u w:val="single"/>
        </w:rPr>
      </w:pPr>
      <w:r w:rsidRPr="00914A1B">
        <w:rPr>
          <w:color w:val="365F91" w:themeColor="accent1" w:themeShade="BF"/>
          <w:sz w:val="20"/>
          <w:szCs w:val="20"/>
        </w:rPr>
        <w:t>No input from INSPIRE or Use case 2</w:t>
      </w:r>
    </w:p>
    <w:p w:rsidR="00914A1B" w:rsidRPr="00914A1B" w:rsidRDefault="00914A1B" w:rsidP="00914A1B">
      <w:pPr>
        <w:spacing w:after="0"/>
      </w:pPr>
    </w:p>
    <w:tbl>
      <w:tblPr>
        <w:tblStyle w:val="TableGrid"/>
        <w:tblW w:w="0" w:type="auto"/>
        <w:tblLook w:val="04A0" w:firstRow="1" w:lastRow="0" w:firstColumn="1" w:lastColumn="0" w:noHBand="0" w:noVBand="1"/>
      </w:tblPr>
      <w:tblGrid>
        <w:gridCol w:w="9576"/>
      </w:tblGrid>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COMMENT: I propose to remove "(catchment)". GMZ (or GMA - Groundwater Management Area) is the most often administrative unit. There is a huge difference between GMZ, surface catchment and groundwater catchment. [JM]</w:t>
            </w:r>
          </w:p>
        </w:tc>
      </w:tr>
      <w:tr w:rsidR="00914A1B" w:rsidRPr="00914A1B" w:rsidTr="009151D7">
        <w:tc>
          <w:tcPr>
            <w:tcW w:w="9576" w:type="dxa"/>
          </w:tcPr>
          <w:p w:rsidR="00914A1B" w:rsidRPr="00914A1B" w:rsidRDefault="00914A1B" w:rsidP="00914A1B">
            <w:pPr>
              <w:spacing w:after="200" w:line="276" w:lineRule="auto"/>
              <w:rPr>
                <w:sz w:val="20"/>
                <w:szCs w:val="20"/>
              </w:rPr>
            </w:pPr>
            <w:proofErr w:type="gramStart"/>
            <w:r w:rsidRPr="00914A1B">
              <w:rPr>
                <w:sz w:val="20"/>
                <w:szCs w:val="20"/>
              </w:rPr>
              <w:t>COMMENT[</w:t>
            </w:r>
            <w:proofErr w:type="gramEnd"/>
            <w:r w:rsidRPr="00914A1B">
              <w:rPr>
                <w:sz w:val="20"/>
                <w:szCs w:val="20"/>
              </w:rPr>
              <w:t xml:space="preserve">ID]: </w:t>
            </w:r>
            <w:proofErr w:type="spellStart"/>
            <w:r w:rsidRPr="00914A1B">
              <w:rPr>
                <w:sz w:val="20"/>
                <w:szCs w:val="20"/>
              </w:rPr>
              <w:t>HY_Features</w:t>
            </w:r>
            <w:proofErr w:type="spellEnd"/>
            <w:r w:rsidRPr="00914A1B">
              <w:rPr>
                <w:sz w:val="20"/>
                <w:szCs w:val="20"/>
              </w:rPr>
              <w:t xml:space="preserve"> defines catchment as the basic unit of study or reporting. </w:t>
            </w:r>
            <w:proofErr w:type="gramStart"/>
            <w:r w:rsidRPr="00914A1B">
              <w:rPr>
                <w:sz w:val="20"/>
                <w:szCs w:val="20"/>
              </w:rPr>
              <w:t>in</w:t>
            </w:r>
            <w:proofErr w:type="gramEnd"/>
            <w:r w:rsidRPr="00914A1B">
              <w:rPr>
                <w:sz w:val="20"/>
                <w:szCs w:val="20"/>
              </w:rPr>
              <w:t xml:space="preserve"> case of hydrologic determination, a catchment is considered a basin wherein all waters are channeled to a common (topological) outfall. </w:t>
            </w:r>
            <w:proofErr w:type="gramStart"/>
            <w:r w:rsidRPr="00914A1B">
              <w:rPr>
                <w:sz w:val="20"/>
                <w:szCs w:val="20"/>
              </w:rPr>
              <w:t>in</w:t>
            </w:r>
            <w:proofErr w:type="gramEnd"/>
            <w:r w:rsidRPr="00914A1B">
              <w:rPr>
                <w:sz w:val="20"/>
                <w:szCs w:val="20"/>
              </w:rPr>
              <w:t xml:space="preserve"> this sense the "groundwater management zone" maybe understood as a catchment, or a basin when it </w:t>
            </w:r>
            <w:proofErr w:type="spellStart"/>
            <w:r w:rsidRPr="00914A1B">
              <w:rPr>
                <w:sz w:val="20"/>
                <w:szCs w:val="20"/>
              </w:rPr>
              <w:t>concides</w:t>
            </w:r>
            <w:proofErr w:type="spellEnd"/>
            <w:r w:rsidRPr="00914A1B">
              <w:rPr>
                <w:sz w:val="20"/>
                <w:szCs w:val="20"/>
              </w:rPr>
              <w:t xml:space="preserve"> with the hydrologic determined unit.</w:t>
            </w:r>
          </w:p>
          <w:p w:rsidR="00914A1B" w:rsidRPr="00914A1B" w:rsidRDefault="00914A1B" w:rsidP="00914A1B">
            <w:pPr>
              <w:spacing w:after="200" w:line="276" w:lineRule="auto"/>
              <w:rPr>
                <w:sz w:val="20"/>
                <w:szCs w:val="20"/>
              </w:rPr>
            </w:pP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 xml:space="preserve">Distinct area, defined by </w:t>
            </w:r>
            <w:proofErr w:type="gramStart"/>
            <w:r w:rsidRPr="00914A1B">
              <w:rPr>
                <w:sz w:val="20"/>
                <w:szCs w:val="20"/>
              </w:rPr>
              <w:t>either political</w:t>
            </w:r>
            <w:proofErr w:type="gramEnd"/>
            <w:r w:rsidRPr="00914A1B">
              <w:rPr>
                <w:sz w:val="20"/>
                <w:szCs w:val="20"/>
              </w:rPr>
              <w:t>, natural or other reasons, for which water budget is calculated and policies are in place. {input source other}</w:t>
            </w:r>
          </w:p>
          <w:p w:rsidR="00914A1B" w:rsidRPr="00914A1B" w:rsidRDefault="00914A1B" w:rsidP="00914A1B">
            <w:pPr>
              <w:spacing w:after="200" w:line="276" w:lineRule="auto"/>
              <w:rPr>
                <w:sz w:val="20"/>
                <w:szCs w:val="20"/>
              </w:rPr>
            </w:pPr>
          </w:p>
        </w:tc>
      </w:tr>
    </w:tbl>
    <w:p w:rsidR="00914A1B" w:rsidRPr="00914A1B" w:rsidRDefault="00914A1B" w:rsidP="00914A1B">
      <w:pPr>
        <w:spacing w:after="0"/>
        <w:rPr>
          <w:sz w:val="20"/>
          <w:szCs w:val="20"/>
        </w:rPr>
      </w:pPr>
    </w:p>
    <w:p w:rsidR="00914A1B" w:rsidRPr="00914A1B" w:rsidRDefault="00914A1B" w:rsidP="00914A1B">
      <w:pPr>
        <w:spacing w:after="0"/>
        <w:rPr>
          <w:sz w:val="20"/>
          <w:szCs w:val="20"/>
        </w:rPr>
      </w:pPr>
    </w:p>
    <w:p w:rsidR="00914A1B" w:rsidRPr="00914A1B" w:rsidRDefault="00914A1B" w:rsidP="00914A1B">
      <w:pPr>
        <w:spacing w:after="0"/>
        <w:rPr>
          <w:sz w:val="20"/>
          <w:szCs w:val="20"/>
        </w:rPr>
      </w:pPr>
      <w:bookmarkStart w:id="1" w:name="_GoBack"/>
      <w:bookmarkEnd w:id="1"/>
    </w:p>
    <w:p w:rsidR="00914A1B" w:rsidRPr="00914A1B" w:rsidRDefault="00914A1B" w:rsidP="00914A1B">
      <w:pPr>
        <w:keepNext/>
        <w:keepLines/>
        <w:spacing w:before="200" w:after="0"/>
        <w:outlineLvl w:val="3"/>
        <w:rPr>
          <w:rFonts w:asciiTheme="majorHAnsi" w:eastAsiaTheme="majorEastAsia" w:hAnsiTheme="majorHAnsi" w:cstheme="majorBidi"/>
          <w:b/>
          <w:bCs/>
          <w:i/>
          <w:iCs/>
          <w:color w:val="4F81BD" w:themeColor="accent1"/>
        </w:rPr>
      </w:pPr>
      <w:r w:rsidRPr="00914A1B">
        <w:rPr>
          <w:rFonts w:asciiTheme="majorHAnsi" w:eastAsiaTheme="majorEastAsia" w:hAnsiTheme="majorHAnsi" w:cstheme="majorBidi"/>
          <w:b/>
          <w:bCs/>
          <w:i/>
          <w:iCs/>
          <w:color w:val="4F81BD" w:themeColor="accent1"/>
        </w:rPr>
        <w:t xml:space="preserve">Management Restriction </w:t>
      </w:r>
      <w:proofErr w:type="gramStart"/>
      <w:r w:rsidRPr="00914A1B">
        <w:rPr>
          <w:rFonts w:asciiTheme="majorHAnsi" w:eastAsiaTheme="majorEastAsia" w:hAnsiTheme="majorHAnsi" w:cstheme="majorBidi"/>
          <w:b/>
          <w:bCs/>
          <w:i/>
          <w:iCs/>
          <w:color w:val="4F81BD" w:themeColor="accent1"/>
        </w:rPr>
        <w:t>Or</w:t>
      </w:r>
      <w:proofErr w:type="gramEnd"/>
      <w:r w:rsidRPr="00914A1B">
        <w:rPr>
          <w:rFonts w:asciiTheme="majorHAnsi" w:eastAsiaTheme="majorEastAsia" w:hAnsiTheme="majorHAnsi" w:cstheme="majorBidi"/>
          <w:b/>
          <w:bCs/>
          <w:i/>
          <w:iCs/>
          <w:color w:val="4F81BD" w:themeColor="accent1"/>
        </w:rPr>
        <w:t xml:space="preserve"> Regulation Zone</w:t>
      </w:r>
    </w:p>
    <w:p w:rsidR="00914A1B" w:rsidRPr="00914A1B" w:rsidRDefault="00914A1B" w:rsidP="00914A1B">
      <w:pPr>
        <w:spacing w:after="0"/>
        <w:rPr>
          <w:sz w:val="20"/>
          <w:szCs w:val="20"/>
        </w:rPr>
      </w:pPr>
    </w:p>
    <w:p w:rsidR="00914A1B" w:rsidRPr="00914A1B" w:rsidRDefault="00914A1B" w:rsidP="00914A1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365F91" w:themeColor="accent1" w:themeShade="BF"/>
          <w:sz w:val="20"/>
          <w:szCs w:val="20"/>
        </w:rPr>
      </w:pPr>
      <w:r w:rsidRPr="00914A1B">
        <w:rPr>
          <w:color w:val="365F91" w:themeColor="accent1" w:themeShade="BF"/>
          <w:sz w:val="20"/>
          <w:szCs w:val="20"/>
        </w:rPr>
        <w:t>Area managed, restricted or regulated in accordance with a legal requirement related to an environmental policy or a policy or activity that may have an impact on the environment at any level of administration (international, European, national, regional and local).</w:t>
      </w:r>
    </w:p>
    <w:p w:rsidR="00914A1B" w:rsidRPr="00914A1B" w:rsidRDefault="00914A1B" w:rsidP="00914A1B">
      <w:pPr>
        <w:spacing w:after="0"/>
      </w:pPr>
    </w:p>
    <w:tbl>
      <w:tblPr>
        <w:tblStyle w:val="TableGrid"/>
        <w:tblW w:w="0" w:type="auto"/>
        <w:tblLook w:val="04A0" w:firstRow="1" w:lastRow="0" w:firstColumn="1" w:lastColumn="0" w:noHBand="0" w:noVBand="1"/>
      </w:tblPr>
      <w:tblGrid>
        <w:gridCol w:w="9576"/>
      </w:tblGrid>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No other comments…</w:t>
            </w:r>
          </w:p>
        </w:tc>
      </w:tr>
    </w:tbl>
    <w:p w:rsidR="00914A1B" w:rsidRPr="00914A1B" w:rsidRDefault="00914A1B" w:rsidP="00914A1B">
      <w:pPr>
        <w:spacing w:after="0"/>
      </w:pPr>
    </w:p>
    <w:p w:rsidR="00914A1B" w:rsidRPr="00914A1B" w:rsidRDefault="00914A1B" w:rsidP="00914A1B">
      <w:pPr>
        <w:keepNext/>
        <w:keepLines/>
        <w:spacing w:before="200" w:after="0"/>
        <w:outlineLvl w:val="3"/>
        <w:rPr>
          <w:rFonts w:asciiTheme="majorHAnsi" w:eastAsiaTheme="majorEastAsia" w:hAnsiTheme="majorHAnsi" w:cstheme="majorBidi"/>
          <w:b/>
          <w:bCs/>
          <w:i/>
          <w:iCs/>
          <w:color w:val="4F81BD" w:themeColor="accent1"/>
        </w:rPr>
      </w:pPr>
      <w:r w:rsidRPr="00914A1B">
        <w:rPr>
          <w:rFonts w:asciiTheme="majorHAnsi" w:eastAsiaTheme="majorEastAsia" w:hAnsiTheme="majorHAnsi" w:cstheme="majorBidi"/>
          <w:b/>
          <w:bCs/>
          <w:i/>
          <w:iCs/>
          <w:color w:val="4F81BD" w:themeColor="accent1"/>
        </w:rPr>
        <w:t>River Basin District</w:t>
      </w:r>
    </w:p>
    <w:p w:rsidR="00914A1B" w:rsidRPr="00914A1B" w:rsidRDefault="00914A1B" w:rsidP="00914A1B">
      <w:pPr>
        <w:spacing w:after="0"/>
      </w:pPr>
    </w:p>
    <w:p w:rsidR="00914A1B" w:rsidRPr="00914A1B" w:rsidRDefault="00914A1B" w:rsidP="00914A1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365F91" w:themeColor="accent1" w:themeShade="BF"/>
          <w:sz w:val="20"/>
          <w:szCs w:val="20"/>
        </w:rPr>
      </w:pPr>
      <w:r w:rsidRPr="00914A1B">
        <w:rPr>
          <w:color w:val="365F91" w:themeColor="accent1" w:themeShade="BF"/>
          <w:sz w:val="20"/>
          <w:szCs w:val="20"/>
        </w:rPr>
        <w:t>A body of inland water flowing for the most part on the surface of the land but which may flow underground for part of its course.</w:t>
      </w:r>
    </w:p>
    <w:p w:rsidR="00914A1B" w:rsidRPr="00914A1B" w:rsidRDefault="00914A1B" w:rsidP="00914A1B">
      <w:pPr>
        <w:spacing w:after="0"/>
        <w:rPr>
          <w:sz w:val="20"/>
          <w:szCs w:val="20"/>
        </w:rPr>
      </w:pPr>
    </w:p>
    <w:tbl>
      <w:tblPr>
        <w:tblStyle w:val="TableGrid"/>
        <w:tblW w:w="0" w:type="auto"/>
        <w:tblLook w:val="04A0" w:firstRow="1" w:lastRow="0" w:firstColumn="1" w:lastColumn="0" w:noHBand="0" w:noVBand="1"/>
      </w:tblPr>
      <w:tblGrid>
        <w:gridCol w:w="9576"/>
      </w:tblGrid>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COMMENT: Concept from European Water Framework Directive. I think it is very difficult find its application in other domains. [JM]</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 xml:space="preserve">COMMENT: In INSPIRE "River Basin District" is a concept derived from the Water Framework Directive and is defined as "Area of land and sea, made up of one or more </w:t>
            </w:r>
            <w:proofErr w:type="spellStart"/>
            <w:r w:rsidRPr="00914A1B">
              <w:rPr>
                <w:sz w:val="20"/>
                <w:szCs w:val="20"/>
              </w:rPr>
              <w:t>neighbouring</w:t>
            </w:r>
            <w:proofErr w:type="spellEnd"/>
            <w:r w:rsidRPr="00914A1B">
              <w:rPr>
                <w:sz w:val="20"/>
                <w:szCs w:val="20"/>
              </w:rPr>
              <w:t xml:space="preserve"> river basins together with their associated </w:t>
            </w:r>
            <w:proofErr w:type="spellStart"/>
            <w:r w:rsidRPr="00914A1B">
              <w:rPr>
                <w:sz w:val="20"/>
                <w:szCs w:val="20"/>
              </w:rPr>
              <w:t>groundwaters</w:t>
            </w:r>
            <w:proofErr w:type="spellEnd"/>
            <w:r w:rsidRPr="00914A1B">
              <w:rPr>
                <w:sz w:val="20"/>
                <w:szCs w:val="20"/>
              </w:rPr>
              <w:t xml:space="preserve"> and coastal waters, identified under Article 3(1) as the main unit for management of river basins" – so very much a regulatory definition. [JL]</w:t>
            </w:r>
          </w:p>
        </w:tc>
      </w:tr>
      <w:tr w:rsidR="00914A1B" w:rsidRPr="00914A1B" w:rsidTr="009151D7">
        <w:tc>
          <w:tcPr>
            <w:tcW w:w="9576" w:type="dxa"/>
          </w:tcPr>
          <w:p w:rsidR="00914A1B" w:rsidRPr="00914A1B" w:rsidRDefault="00914A1B" w:rsidP="00914A1B">
            <w:pPr>
              <w:spacing w:after="200" w:line="276" w:lineRule="auto"/>
              <w:rPr>
                <w:sz w:val="20"/>
                <w:szCs w:val="20"/>
              </w:rPr>
            </w:pPr>
            <w:proofErr w:type="gramStart"/>
            <w:r w:rsidRPr="00914A1B">
              <w:rPr>
                <w:sz w:val="20"/>
                <w:szCs w:val="20"/>
              </w:rPr>
              <w:t>COMMENT[</w:t>
            </w:r>
            <w:proofErr w:type="gramEnd"/>
            <w:r w:rsidRPr="00914A1B">
              <w:rPr>
                <w:sz w:val="20"/>
                <w:szCs w:val="20"/>
              </w:rPr>
              <w:t xml:space="preserve">ID]: see "groundwater management zone". </w:t>
            </w:r>
            <w:proofErr w:type="gramStart"/>
            <w:r w:rsidRPr="00914A1B">
              <w:rPr>
                <w:sz w:val="20"/>
                <w:szCs w:val="20"/>
              </w:rPr>
              <w:t>furthermore</w:t>
            </w:r>
            <w:proofErr w:type="gramEnd"/>
            <w:r w:rsidRPr="00914A1B">
              <w:rPr>
                <w:sz w:val="20"/>
                <w:szCs w:val="20"/>
              </w:rPr>
              <w:t xml:space="preserve"> (in basin hierarchy) any catchment/basin may be part of a containing unit (in </w:t>
            </w:r>
            <w:proofErr w:type="spellStart"/>
            <w:r w:rsidRPr="00914A1B">
              <w:rPr>
                <w:sz w:val="20"/>
                <w:szCs w:val="20"/>
              </w:rPr>
              <w:t>HY_Features</w:t>
            </w:r>
            <w:proofErr w:type="spellEnd"/>
            <w:r w:rsidRPr="00914A1B">
              <w:rPr>
                <w:sz w:val="20"/>
                <w:szCs w:val="20"/>
              </w:rPr>
              <w:t>).</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 xml:space="preserve">COMMENT: What means "flow underground of inland water"? Is it applicable for </w:t>
            </w:r>
            <w:proofErr w:type="spellStart"/>
            <w:r w:rsidRPr="00914A1B">
              <w:rPr>
                <w:sz w:val="20"/>
                <w:szCs w:val="20"/>
              </w:rPr>
              <w:t>karstik</w:t>
            </w:r>
            <w:proofErr w:type="spellEnd"/>
            <w:r w:rsidRPr="00914A1B">
              <w:rPr>
                <w:sz w:val="20"/>
                <w:szCs w:val="20"/>
              </w:rPr>
              <w:t xml:space="preserve"> systems only? Are </w:t>
            </w:r>
            <w:proofErr w:type="spellStart"/>
            <w:r w:rsidRPr="00914A1B">
              <w:rPr>
                <w:sz w:val="20"/>
                <w:szCs w:val="20"/>
              </w:rPr>
              <w:t>karstic</w:t>
            </w:r>
            <w:proofErr w:type="spellEnd"/>
            <w:r w:rsidRPr="00914A1B">
              <w:rPr>
                <w:sz w:val="20"/>
                <w:szCs w:val="20"/>
              </w:rPr>
              <w:t xml:space="preserve"> systems in scope of GW2IE?? [JM]</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COMMENT[ID]: an administrative (INSPIRE) unit such as "River Basin District" has nothing to do with the property of water to flow in whatever connecting system, no matter on or below the land surface. -</w:t>
            </w:r>
          </w:p>
        </w:tc>
      </w:tr>
      <w:tr w:rsidR="00914A1B" w:rsidRPr="00914A1B" w:rsidTr="009151D7">
        <w:tc>
          <w:tcPr>
            <w:tcW w:w="9576" w:type="dxa"/>
          </w:tcPr>
          <w:p w:rsidR="00914A1B" w:rsidRPr="00914A1B" w:rsidRDefault="00914A1B" w:rsidP="00914A1B">
            <w:pPr>
              <w:spacing w:after="200" w:line="276" w:lineRule="auto"/>
              <w:rPr>
                <w:sz w:val="20"/>
                <w:szCs w:val="20"/>
              </w:rPr>
            </w:pPr>
            <w:proofErr w:type="gramStart"/>
            <w:r w:rsidRPr="00914A1B">
              <w:rPr>
                <w:sz w:val="20"/>
                <w:szCs w:val="20"/>
              </w:rPr>
              <w:t>COMMENT[</w:t>
            </w:r>
            <w:proofErr w:type="gramEnd"/>
            <w:r w:rsidRPr="00914A1B">
              <w:rPr>
                <w:sz w:val="20"/>
                <w:szCs w:val="20"/>
              </w:rPr>
              <w:t xml:space="preserve">ID]: does GWML refers to </w:t>
            </w:r>
            <w:proofErr w:type="spellStart"/>
            <w:r w:rsidRPr="00914A1B">
              <w:rPr>
                <w:sz w:val="20"/>
                <w:szCs w:val="20"/>
              </w:rPr>
              <w:t>subterreanean</w:t>
            </w:r>
            <w:proofErr w:type="spellEnd"/>
            <w:r w:rsidRPr="00914A1B">
              <w:rPr>
                <w:sz w:val="20"/>
                <w:szCs w:val="20"/>
              </w:rPr>
              <w:t xml:space="preserve"> waters and water bodies?</w:t>
            </w:r>
          </w:p>
        </w:tc>
      </w:tr>
    </w:tbl>
    <w:p w:rsidR="00914A1B" w:rsidRPr="00914A1B" w:rsidRDefault="00914A1B" w:rsidP="00914A1B">
      <w:pPr>
        <w:spacing w:after="0"/>
        <w:rPr>
          <w:sz w:val="20"/>
          <w:szCs w:val="20"/>
        </w:rPr>
      </w:pPr>
    </w:p>
    <w:p w:rsidR="00914A1B" w:rsidRPr="00914A1B" w:rsidRDefault="00914A1B" w:rsidP="00914A1B">
      <w:pPr>
        <w:keepNext/>
        <w:keepLines/>
        <w:spacing w:before="200" w:after="0"/>
        <w:outlineLvl w:val="3"/>
        <w:rPr>
          <w:rFonts w:asciiTheme="majorHAnsi" w:eastAsiaTheme="majorEastAsia" w:hAnsiTheme="majorHAnsi" w:cstheme="majorBidi"/>
          <w:b/>
          <w:bCs/>
          <w:i/>
          <w:iCs/>
          <w:color w:val="4F81BD" w:themeColor="accent1"/>
        </w:rPr>
      </w:pPr>
      <w:r w:rsidRPr="00914A1B">
        <w:rPr>
          <w:rFonts w:asciiTheme="majorHAnsi" w:eastAsiaTheme="majorEastAsia" w:hAnsiTheme="majorHAnsi" w:cstheme="majorBidi"/>
          <w:b/>
          <w:bCs/>
          <w:i/>
          <w:iCs/>
          <w:color w:val="4F81BD" w:themeColor="accent1"/>
        </w:rPr>
        <w:t>Groundwater Basin</w:t>
      </w:r>
    </w:p>
    <w:p w:rsidR="00914A1B" w:rsidRPr="00914A1B" w:rsidRDefault="00914A1B" w:rsidP="00914A1B">
      <w:pPr>
        <w:spacing w:after="0"/>
      </w:pPr>
    </w:p>
    <w:p w:rsidR="00914A1B" w:rsidRPr="00914A1B" w:rsidRDefault="00914A1B" w:rsidP="00914A1B">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365F91" w:themeColor="accent1" w:themeShade="BF"/>
          <w:sz w:val="20"/>
          <w:szCs w:val="20"/>
          <w:u w:val="single"/>
        </w:rPr>
      </w:pPr>
      <w:r w:rsidRPr="00914A1B">
        <w:rPr>
          <w:color w:val="365F91" w:themeColor="accent1" w:themeShade="BF"/>
          <w:sz w:val="20"/>
          <w:szCs w:val="20"/>
        </w:rPr>
        <w:t>No input from INSPIRE or Use case 2</w:t>
      </w:r>
    </w:p>
    <w:p w:rsidR="00914A1B" w:rsidRPr="00914A1B" w:rsidRDefault="00914A1B" w:rsidP="00914A1B">
      <w:pPr>
        <w:spacing w:after="0"/>
      </w:pPr>
    </w:p>
    <w:tbl>
      <w:tblPr>
        <w:tblStyle w:val="TableGrid"/>
        <w:tblW w:w="0" w:type="auto"/>
        <w:tblLook w:val="04A0" w:firstRow="1" w:lastRow="0" w:firstColumn="1" w:lastColumn="0" w:noHBand="0" w:noVBand="1"/>
      </w:tblPr>
      <w:tblGrid>
        <w:gridCol w:w="9576"/>
      </w:tblGrid>
      <w:tr w:rsidR="00914A1B" w:rsidRPr="00914A1B" w:rsidTr="009151D7">
        <w:tc>
          <w:tcPr>
            <w:tcW w:w="9576" w:type="dxa"/>
          </w:tcPr>
          <w:p w:rsidR="00914A1B" w:rsidRPr="00914A1B" w:rsidRDefault="00914A1B" w:rsidP="00914A1B">
            <w:pPr>
              <w:spacing w:after="200" w:line="276" w:lineRule="auto"/>
              <w:rPr>
                <w:sz w:val="20"/>
                <w:szCs w:val="20"/>
              </w:rPr>
            </w:pPr>
            <w:r w:rsidRPr="00914A1B">
              <w:rPr>
                <w:b/>
                <w:bCs/>
                <w:sz w:val="20"/>
                <w:szCs w:val="20"/>
              </w:rPr>
              <w:t>COMMENT [ID]</w:t>
            </w:r>
            <w:r w:rsidRPr="00914A1B">
              <w:rPr>
                <w:sz w:val="20"/>
                <w:szCs w:val="20"/>
              </w:rPr>
              <w:t xml:space="preserve">: area is a 2D representation of a unit. </w:t>
            </w:r>
            <w:proofErr w:type="spellStart"/>
            <w:r w:rsidRPr="00914A1B">
              <w:rPr>
                <w:sz w:val="20"/>
                <w:szCs w:val="20"/>
              </w:rPr>
              <w:t>groundwaterbasin</w:t>
            </w:r>
            <w:proofErr w:type="spellEnd"/>
            <w:r w:rsidRPr="00914A1B">
              <w:rPr>
                <w:sz w:val="20"/>
                <w:szCs w:val="20"/>
              </w:rPr>
              <w:t xml:space="preserve"> is an abstract unit of study or reporting </w:t>
            </w:r>
            <w:r w:rsidRPr="00914A1B">
              <w:rPr>
                <w:sz w:val="20"/>
                <w:szCs w:val="20"/>
              </w:rPr>
              <w:lastRenderedPageBreak/>
              <w:t>multiple represented in the real world, e.g. an area, groundwater divide, aquifer system, ...</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lastRenderedPageBreak/>
              <w:t>The underground area (</w:t>
            </w:r>
            <w:proofErr w:type="gramStart"/>
            <w:r w:rsidRPr="00914A1B">
              <w:rPr>
                <w:sz w:val="20"/>
                <w:szCs w:val="20"/>
              </w:rPr>
              <w:t>?,</w:t>
            </w:r>
            <w:proofErr w:type="gramEnd"/>
            <w:r w:rsidRPr="00914A1B">
              <w:rPr>
                <w:sz w:val="20"/>
                <w:szCs w:val="20"/>
              </w:rPr>
              <w:t xml:space="preserve"> see comment above, ID) from which groundwater drains. The basins could be separated by geologic or hydrologic boundaries (</w:t>
            </w:r>
            <w:hyperlink r:id="rId11" w:anchor="G" w:tgtFrame="_top" w:history="1">
              <w:r w:rsidRPr="00914A1B">
                <w:rPr>
                  <w:color w:val="0000FF"/>
                  <w:sz w:val="20"/>
                  <w:szCs w:val="20"/>
                  <w:u w:val="single"/>
                </w:rPr>
                <w:t>http://www.groundwater.org/gi/gwglossary.html#G</w:t>
              </w:r>
            </w:hyperlink>
            <w:r w:rsidRPr="00914A1B">
              <w:rPr>
                <w:sz w:val="20"/>
                <w:szCs w:val="20"/>
              </w:rPr>
              <w:t>)</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rFonts w:cs="Arial"/>
                <w:sz w:val="20"/>
                <w:szCs w:val="20"/>
              </w:rPr>
              <w:t xml:space="preserve">A groundwater basin (usually a </w:t>
            </w:r>
            <w:hyperlink r:id="rId12" w:tgtFrame="_blank" w:tooltip="GA sedimentary basin" w:history="1">
              <w:r w:rsidRPr="00914A1B">
                <w:rPr>
                  <w:rFonts w:cs="Arial"/>
                  <w:color w:val="0000FF"/>
                  <w:sz w:val="20"/>
                  <w:szCs w:val="20"/>
                  <w:u w:val="single"/>
                </w:rPr>
                <w:t>sedi  mentary basin</w:t>
              </w:r>
            </w:hyperlink>
            <w:r w:rsidRPr="00914A1B">
              <w:rPr>
                <w:rFonts w:cs="Arial"/>
                <w:sz w:val="20"/>
                <w:szCs w:val="20"/>
              </w:rPr>
              <w:t>) that covers a large area (</w:t>
            </w:r>
            <w:proofErr w:type="gramStart"/>
            <w:r w:rsidRPr="00914A1B">
              <w:rPr>
                <w:rFonts w:cs="Arial"/>
                <w:sz w:val="20"/>
                <w:szCs w:val="20"/>
              </w:rPr>
              <w:t>?,</w:t>
            </w:r>
            <w:proofErr w:type="gramEnd"/>
            <w:r w:rsidRPr="00914A1B">
              <w:rPr>
                <w:rFonts w:cs="Arial"/>
                <w:sz w:val="20"/>
                <w:szCs w:val="20"/>
              </w:rPr>
              <w:t xml:space="preserve"> see </w:t>
            </w:r>
            <w:proofErr w:type="spellStart"/>
            <w:r w:rsidRPr="00914A1B">
              <w:rPr>
                <w:rFonts w:cs="Arial"/>
                <w:sz w:val="20"/>
                <w:szCs w:val="20"/>
              </w:rPr>
              <w:t>commetn</w:t>
            </w:r>
            <w:proofErr w:type="spellEnd"/>
            <w:r w:rsidRPr="00914A1B">
              <w:rPr>
                <w:rFonts w:cs="Arial"/>
                <w:sz w:val="20"/>
                <w:szCs w:val="20"/>
              </w:rPr>
              <w:t xml:space="preserve"> above, ID) and delineates a natural hydrogeological province. It may contain several </w:t>
            </w:r>
            <w:proofErr w:type="spellStart"/>
            <w:r w:rsidRPr="00914A1B">
              <w:rPr>
                <w:rFonts w:cs="Arial"/>
                <w:sz w:val="20"/>
                <w:szCs w:val="20"/>
              </w:rPr>
              <w:t>hydrogeologic</w:t>
            </w:r>
            <w:proofErr w:type="spellEnd"/>
            <w:r w:rsidRPr="00914A1B">
              <w:rPr>
                <w:rFonts w:cs="Arial"/>
                <w:sz w:val="20"/>
                <w:szCs w:val="20"/>
              </w:rPr>
              <w:t xml:space="preserve"> units, aquifers, confining beds and groundwater systems (based on </w:t>
            </w:r>
            <w:hyperlink r:id="rId13" w:tgtFrame="_top" w:history="1">
              <w:r w:rsidRPr="00914A1B">
                <w:rPr>
                  <w:rFonts w:cs="Arial"/>
                  <w:color w:val="0000FF"/>
                  <w:sz w:val="20"/>
                  <w:szCs w:val="20"/>
                  <w:u w:val="single"/>
                </w:rPr>
                <w:t>http://www.ga.gov.au/groundwater/groundwater-in-australia.html</w:t>
              </w:r>
            </w:hyperlink>
            <w:r w:rsidRPr="00914A1B">
              <w:rPr>
                <w:rFonts w:cs="Arial"/>
                <w:sz w:val="20"/>
                <w:szCs w:val="20"/>
              </w:rPr>
              <w:t xml:space="preserve"> and </w:t>
            </w:r>
            <w:hyperlink r:id="rId14" w:tgtFrame="_top" w:history="1">
              <w:r w:rsidRPr="00914A1B">
                <w:rPr>
                  <w:rFonts w:cs="Arial"/>
                  <w:color w:val="0000FF"/>
                  <w:sz w:val="20"/>
                  <w:szCs w:val="20"/>
                  <w:u w:val="single"/>
                </w:rPr>
                <w:t>http://vro.dpi.vic.gov.au/dpi/vro/vrosite.nsf/pages/water-vics-gwater-basins</w:t>
              </w:r>
            </w:hyperlink>
            <w:r w:rsidRPr="00914A1B">
              <w:rPr>
                <w:rFonts w:cs="Arial"/>
                <w:sz w:val="20"/>
                <w:szCs w:val="20"/>
              </w:rPr>
              <w:t xml:space="preserve"> )</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sz w:val="20"/>
                <w:szCs w:val="20"/>
              </w:rPr>
              <w:t xml:space="preserve">Groundwater resources of the region are subdivided into groundwater basins on the basis of: (1) a natural boundary that does not change with time, such as one determined by structural features, intervening layers, or aquifer extent; (2) a boundary that may change with time, such as an underground watershed or groundwater divide which may change in response to </w:t>
            </w:r>
            <w:proofErr w:type="spellStart"/>
            <w:r w:rsidRPr="00914A1B">
              <w:rPr>
                <w:sz w:val="20"/>
                <w:szCs w:val="20"/>
              </w:rPr>
              <w:t>pumpage</w:t>
            </w:r>
            <w:proofErr w:type="spellEnd"/>
            <w:r w:rsidRPr="00914A1B">
              <w:rPr>
                <w:sz w:val="20"/>
                <w:szCs w:val="20"/>
              </w:rPr>
              <w:t xml:space="preserve"> or recharge; or (3) a boundary designated solely for administrative or operative reasons. (</w:t>
            </w:r>
            <w:hyperlink r:id="rId15" w:tgtFrame="_top" w:history="1">
              <w:r w:rsidRPr="00914A1B">
                <w:rPr>
                  <w:color w:val="0000FF"/>
                  <w:sz w:val="20"/>
                  <w:szCs w:val="20"/>
                  <w:u w:val="single"/>
                </w:rPr>
                <w:t>http://exact-me.org/overview/p11.htm</w:t>
              </w:r>
            </w:hyperlink>
            <w:r w:rsidRPr="00914A1B">
              <w:rPr>
                <w:sz w:val="20"/>
                <w:szCs w:val="20"/>
              </w:rPr>
              <w:t>) [BB]</w:t>
            </w:r>
          </w:p>
        </w:tc>
      </w:tr>
      <w:tr w:rsidR="00914A1B" w:rsidRPr="00914A1B" w:rsidTr="009151D7">
        <w:tc>
          <w:tcPr>
            <w:tcW w:w="9576" w:type="dxa"/>
          </w:tcPr>
          <w:p w:rsidR="00914A1B" w:rsidRPr="00914A1B" w:rsidRDefault="00914A1B" w:rsidP="00914A1B">
            <w:pPr>
              <w:spacing w:after="200" w:line="276" w:lineRule="auto"/>
              <w:rPr>
                <w:sz w:val="20"/>
                <w:szCs w:val="20"/>
              </w:rPr>
            </w:pPr>
            <w:r w:rsidRPr="00914A1B">
              <w:rPr>
                <w:rFonts w:cs="Arial"/>
                <w:sz w:val="20"/>
                <w:szCs w:val="20"/>
              </w:rPr>
              <w:t>Physiographic unit containing one large or several connected or interrelated aquifers, whose waters are flowing to a common outlet, and which is delimited by a groundwater divide. IGH0552</w:t>
            </w:r>
          </w:p>
        </w:tc>
      </w:tr>
    </w:tbl>
    <w:p w:rsidR="00914A1B" w:rsidRPr="00914A1B" w:rsidRDefault="00914A1B" w:rsidP="00914A1B"/>
    <w:p w:rsidR="00914A1B" w:rsidRPr="00914A1B" w:rsidRDefault="00914A1B" w:rsidP="00914A1B"/>
    <w:sectPr w:rsidR="00914A1B" w:rsidRPr="0091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C6E"/>
    <w:multiLevelType w:val="hybridMultilevel"/>
    <w:tmpl w:val="2B48F402"/>
    <w:lvl w:ilvl="0" w:tplc="8D3831D6">
      <w:start w:val="1"/>
      <w:numFmt w:val="decimal"/>
      <w:lvlText w:val="%1)"/>
      <w:lvlJc w:val="left"/>
      <w:pPr>
        <w:ind w:left="169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B2BC4"/>
    <w:multiLevelType w:val="hybridMultilevel"/>
    <w:tmpl w:val="3130514A"/>
    <w:lvl w:ilvl="0" w:tplc="8D3831D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20141B"/>
    <w:multiLevelType w:val="hybridMultilevel"/>
    <w:tmpl w:val="6E2CE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E91C26"/>
    <w:multiLevelType w:val="hybridMultilevel"/>
    <w:tmpl w:val="32ECF992"/>
    <w:lvl w:ilvl="0" w:tplc="A8E60BDE">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5CED3C45"/>
    <w:multiLevelType w:val="hybridMultilevel"/>
    <w:tmpl w:val="D89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2593"/>
    <w:rsid w:val="00030A5F"/>
    <w:rsid w:val="00082593"/>
    <w:rsid w:val="000D53D5"/>
    <w:rsid w:val="00111311"/>
    <w:rsid w:val="00154D5B"/>
    <w:rsid w:val="00155CDF"/>
    <w:rsid w:val="001660DE"/>
    <w:rsid w:val="00290ABC"/>
    <w:rsid w:val="002A4076"/>
    <w:rsid w:val="002F4469"/>
    <w:rsid w:val="0041536B"/>
    <w:rsid w:val="00431650"/>
    <w:rsid w:val="004361A0"/>
    <w:rsid w:val="00451832"/>
    <w:rsid w:val="00476562"/>
    <w:rsid w:val="00490216"/>
    <w:rsid w:val="004A4DE5"/>
    <w:rsid w:val="0052073D"/>
    <w:rsid w:val="00525D7A"/>
    <w:rsid w:val="00586348"/>
    <w:rsid w:val="005B690E"/>
    <w:rsid w:val="005D45C8"/>
    <w:rsid w:val="006B36C4"/>
    <w:rsid w:val="006C379A"/>
    <w:rsid w:val="006C6F8C"/>
    <w:rsid w:val="00784448"/>
    <w:rsid w:val="007B23FB"/>
    <w:rsid w:val="007B6F51"/>
    <w:rsid w:val="007C31CF"/>
    <w:rsid w:val="007E5E63"/>
    <w:rsid w:val="008D2E3E"/>
    <w:rsid w:val="00914A1B"/>
    <w:rsid w:val="00A42C38"/>
    <w:rsid w:val="00A5199E"/>
    <w:rsid w:val="00A5742E"/>
    <w:rsid w:val="00AE2F9E"/>
    <w:rsid w:val="00B00508"/>
    <w:rsid w:val="00B50506"/>
    <w:rsid w:val="00B928AC"/>
    <w:rsid w:val="00D67FE8"/>
    <w:rsid w:val="00DC07C2"/>
    <w:rsid w:val="00E03E42"/>
    <w:rsid w:val="00E138D4"/>
    <w:rsid w:val="00F90C48"/>
    <w:rsid w:val="00FA4CE4"/>
    <w:rsid w:val="00FB5726"/>
    <w:rsid w:val="00FC0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82593"/>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082593"/>
    <w:pPr>
      <w:keepNext/>
      <w:keepLines/>
      <w:spacing w:before="200" w:after="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qFormat/>
    <w:rsid w:val="006C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259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082593"/>
    <w:rPr>
      <w:rFonts w:ascii="Cambria" w:eastAsia="SimSun" w:hAnsi="Cambria" w:cs="Times New Roman"/>
      <w:b/>
      <w:bCs/>
      <w:color w:val="4F81BD"/>
    </w:rPr>
  </w:style>
  <w:style w:type="paragraph" w:styleId="NormalWeb">
    <w:name w:val="Normal (Web)"/>
    <w:basedOn w:val="Normal"/>
    <w:uiPriority w:val="99"/>
    <w:rsid w:val="00082593"/>
    <w:pPr>
      <w:tabs>
        <w:tab w:val="left" w:pos="284"/>
        <w:tab w:val="left" w:pos="567"/>
        <w:tab w:val="left" w:pos="851"/>
        <w:tab w:val="left" w:pos="1134"/>
      </w:tabs>
      <w:spacing w:before="100" w:beforeAutospacing="1" w:after="100" w:afterAutospacing="1" w:line="240" w:lineRule="auto"/>
      <w:jc w:val="both"/>
    </w:pPr>
    <w:rPr>
      <w:rFonts w:ascii="Arial" w:eastAsia="SimSun" w:hAnsi="Arial" w:cs="Times New Roman"/>
      <w:sz w:val="20"/>
      <w:szCs w:val="16"/>
      <w:lang w:val="en-GB"/>
    </w:rPr>
  </w:style>
  <w:style w:type="table" w:styleId="TableGrid">
    <w:name w:val="Table Grid"/>
    <w:basedOn w:val="TableNormal"/>
    <w:uiPriority w:val="59"/>
    <w:rsid w:val="0008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F8C"/>
    <w:pPr>
      <w:ind w:left="720"/>
      <w:contextualSpacing/>
    </w:pPr>
  </w:style>
  <w:style w:type="character" w:styleId="Hyperlink">
    <w:name w:val="Hyperlink"/>
    <w:basedOn w:val="DefaultParagraphFont"/>
    <w:uiPriority w:val="99"/>
    <w:unhideWhenUsed/>
    <w:rsid w:val="006C6F8C"/>
    <w:rPr>
      <w:color w:val="0000FF"/>
      <w:u w:val="single"/>
    </w:rPr>
  </w:style>
  <w:style w:type="character" w:customStyle="1" w:styleId="Heading4Char">
    <w:name w:val="Heading 4 Char"/>
    <w:basedOn w:val="DefaultParagraphFont"/>
    <w:link w:val="Heading4"/>
    <w:uiPriority w:val="9"/>
    <w:rsid w:val="006C6F8C"/>
    <w:rPr>
      <w:rFonts w:asciiTheme="majorHAnsi" w:eastAsiaTheme="majorEastAsia" w:hAnsiTheme="majorHAnsi" w:cstheme="majorBidi"/>
      <w:b/>
      <w:bCs/>
      <w:i/>
      <w:iCs/>
      <w:color w:val="4F81BD" w:themeColor="accent1"/>
    </w:rPr>
  </w:style>
  <w:style w:type="character" w:customStyle="1" w:styleId="foswikigreenfg">
    <w:name w:val="foswikigreenfg"/>
    <w:basedOn w:val="DefaultParagraphFont"/>
    <w:rsid w:val="006C6F8C"/>
  </w:style>
  <w:style w:type="character" w:styleId="Strong">
    <w:name w:val="Strong"/>
    <w:basedOn w:val="DefaultParagraphFont"/>
    <w:uiPriority w:val="22"/>
    <w:qFormat/>
    <w:rsid w:val="006C6F8C"/>
    <w:rPr>
      <w:b/>
      <w:bCs/>
    </w:rPr>
  </w:style>
  <w:style w:type="paragraph" w:styleId="BalloonText">
    <w:name w:val="Balloon Text"/>
    <w:basedOn w:val="Normal"/>
    <w:link w:val="BalloonTextChar"/>
    <w:uiPriority w:val="99"/>
    <w:semiHidden/>
    <w:unhideWhenUsed/>
    <w:rsid w:val="00FB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26"/>
    <w:rPr>
      <w:rFonts w:ascii="Tahoma" w:hAnsi="Tahoma" w:cs="Tahoma"/>
      <w:sz w:val="16"/>
      <w:szCs w:val="16"/>
    </w:rPr>
  </w:style>
  <w:style w:type="paragraph" w:styleId="Caption">
    <w:name w:val="caption"/>
    <w:basedOn w:val="Normal"/>
    <w:next w:val="Normal"/>
    <w:uiPriority w:val="35"/>
    <w:unhideWhenUsed/>
    <w:qFormat/>
    <w:rsid w:val="00FB5726"/>
    <w:pPr>
      <w:spacing w:line="240" w:lineRule="auto"/>
    </w:pPr>
    <w:rPr>
      <w:b/>
      <w:bCs/>
      <w:color w:val="4F81BD" w:themeColor="accent1"/>
      <w:sz w:val="18"/>
      <w:szCs w:val="18"/>
    </w:rPr>
  </w:style>
  <w:style w:type="character" w:customStyle="1" w:styleId="Instruction">
    <w:name w:val="Instruction"/>
    <w:rsid w:val="00FB5726"/>
    <w:rPr>
      <w:i/>
      <w:i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82593"/>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082593"/>
    <w:pPr>
      <w:keepNext/>
      <w:keepLines/>
      <w:spacing w:before="200" w:after="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qFormat/>
    <w:rsid w:val="006C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259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082593"/>
    <w:rPr>
      <w:rFonts w:ascii="Cambria" w:eastAsia="SimSun" w:hAnsi="Cambria" w:cs="Times New Roman"/>
      <w:b/>
      <w:bCs/>
      <w:color w:val="4F81BD"/>
    </w:rPr>
  </w:style>
  <w:style w:type="paragraph" w:styleId="NormalWeb">
    <w:name w:val="Normal (Web)"/>
    <w:basedOn w:val="Normal"/>
    <w:uiPriority w:val="99"/>
    <w:rsid w:val="00082593"/>
    <w:pPr>
      <w:tabs>
        <w:tab w:val="left" w:pos="284"/>
        <w:tab w:val="left" w:pos="567"/>
        <w:tab w:val="left" w:pos="851"/>
        <w:tab w:val="left" w:pos="1134"/>
      </w:tabs>
      <w:spacing w:before="100" w:beforeAutospacing="1" w:after="100" w:afterAutospacing="1" w:line="240" w:lineRule="auto"/>
      <w:jc w:val="both"/>
    </w:pPr>
    <w:rPr>
      <w:rFonts w:ascii="Arial" w:eastAsia="SimSun" w:hAnsi="Arial" w:cs="Times New Roman"/>
      <w:sz w:val="20"/>
      <w:szCs w:val="16"/>
      <w:lang w:val="en-GB"/>
    </w:rPr>
  </w:style>
  <w:style w:type="table" w:styleId="TableGrid">
    <w:name w:val="Table Grid"/>
    <w:basedOn w:val="TableNormal"/>
    <w:uiPriority w:val="59"/>
    <w:rsid w:val="0008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F8C"/>
    <w:pPr>
      <w:ind w:left="720"/>
      <w:contextualSpacing/>
    </w:pPr>
  </w:style>
  <w:style w:type="character" w:styleId="Hyperlink">
    <w:name w:val="Hyperlink"/>
    <w:basedOn w:val="DefaultParagraphFont"/>
    <w:uiPriority w:val="99"/>
    <w:unhideWhenUsed/>
    <w:rsid w:val="006C6F8C"/>
    <w:rPr>
      <w:color w:val="0000FF"/>
      <w:u w:val="single"/>
    </w:rPr>
  </w:style>
  <w:style w:type="character" w:customStyle="1" w:styleId="Heading4Char">
    <w:name w:val="Heading 4 Char"/>
    <w:basedOn w:val="DefaultParagraphFont"/>
    <w:link w:val="Heading4"/>
    <w:uiPriority w:val="9"/>
    <w:rsid w:val="006C6F8C"/>
    <w:rPr>
      <w:rFonts w:asciiTheme="majorHAnsi" w:eastAsiaTheme="majorEastAsia" w:hAnsiTheme="majorHAnsi" w:cstheme="majorBidi"/>
      <w:b/>
      <w:bCs/>
      <w:i/>
      <w:iCs/>
      <w:color w:val="4F81BD" w:themeColor="accent1"/>
    </w:rPr>
  </w:style>
  <w:style w:type="character" w:customStyle="1" w:styleId="foswikigreenfg">
    <w:name w:val="foswikigreenfg"/>
    <w:basedOn w:val="DefaultParagraphFont"/>
    <w:rsid w:val="006C6F8C"/>
  </w:style>
  <w:style w:type="character" w:styleId="Strong">
    <w:name w:val="Strong"/>
    <w:basedOn w:val="DefaultParagraphFont"/>
    <w:uiPriority w:val="22"/>
    <w:qFormat/>
    <w:rsid w:val="006C6F8C"/>
    <w:rPr>
      <w:b/>
      <w:bCs/>
    </w:rPr>
  </w:style>
  <w:style w:type="paragraph" w:styleId="BalloonText">
    <w:name w:val="Balloon Text"/>
    <w:basedOn w:val="Normal"/>
    <w:link w:val="BalloonTextChar"/>
    <w:uiPriority w:val="99"/>
    <w:semiHidden/>
    <w:unhideWhenUsed/>
    <w:rsid w:val="00FB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26"/>
    <w:rPr>
      <w:rFonts w:ascii="Tahoma" w:hAnsi="Tahoma" w:cs="Tahoma"/>
      <w:sz w:val="16"/>
      <w:szCs w:val="16"/>
    </w:rPr>
  </w:style>
  <w:style w:type="paragraph" w:styleId="Caption">
    <w:name w:val="caption"/>
    <w:basedOn w:val="Normal"/>
    <w:next w:val="Normal"/>
    <w:uiPriority w:val="35"/>
    <w:unhideWhenUsed/>
    <w:qFormat/>
    <w:rsid w:val="00FB5726"/>
    <w:pPr>
      <w:spacing w:line="240" w:lineRule="auto"/>
    </w:pPr>
    <w:rPr>
      <w:b/>
      <w:bCs/>
      <w:color w:val="4F81BD" w:themeColor="accent1"/>
      <w:sz w:val="18"/>
      <w:szCs w:val="18"/>
    </w:rPr>
  </w:style>
  <w:style w:type="character" w:customStyle="1" w:styleId="Instruction">
    <w:name w:val="Instruction"/>
    <w:rsid w:val="00FB5726"/>
    <w:rPr>
      <w:i/>
      <w:i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373">
      <w:bodyDiv w:val="1"/>
      <w:marLeft w:val="0"/>
      <w:marRight w:val="0"/>
      <w:marTop w:val="0"/>
      <w:marBottom w:val="0"/>
      <w:divBdr>
        <w:top w:val="none" w:sz="0" w:space="0" w:color="auto"/>
        <w:left w:val="none" w:sz="0" w:space="0" w:color="auto"/>
        <w:bottom w:val="none" w:sz="0" w:space="0" w:color="auto"/>
        <w:right w:val="none" w:sz="0" w:space="0" w:color="auto"/>
      </w:divBdr>
    </w:div>
    <w:div w:id="167404453">
      <w:bodyDiv w:val="1"/>
      <w:marLeft w:val="0"/>
      <w:marRight w:val="0"/>
      <w:marTop w:val="0"/>
      <w:marBottom w:val="0"/>
      <w:divBdr>
        <w:top w:val="none" w:sz="0" w:space="0" w:color="auto"/>
        <w:left w:val="none" w:sz="0" w:space="0" w:color="auto"/>
        <w:bottom w:val="none" w:sz="0" w:space="0" w:color="auto"/>
        <w:right w:val="none" w:sz="0" w:space="0" w:color="auto"/>
      </w:divBdr>
    </w:div>
    <w:div w:id="732854726">
      <w:bodyDiv w:val="1"/>
      <w:marLeft w:val="0"/>
      <w:marRight w:val="0"/>
      <w:marTop w:val="0"/>
      <w:marBottom w:val="0"/>
      <w:divBdr>
        <w:top w:val="none" w:sz="0" w:space="0" w:color="auto"/>
        <w:left w:val="none" w:sz="0" w:space="0" w:color="auto"/>
        <w:bottom w:val="none" w:sz="0" w:space="0" w:color="auto"/>
        <w:right w:val="none" w:sz="0" w:space="0" w:color="auto"/>
      </w:divBdr>
    </w:div>
    <w:div w:id="854416310">
      <w:bodyDiv w:val="1"/>
      <w:marLeft w:val="0"/>
      <w:marRight w:val="0"/>
      <w:marTop w:val="0"/>
      <w:marBottom w:val="0"/>
      <w:divBdr>
        <w:top w:val="none" w:sz="0" w:space="0" w:color="auto"/>
        <w:left w:val="none" w:sz="0" w:space="0" w:color="auto"/>
        <w:bottom w:val="none" w:sz="0" w:space="0" w:color="auto"/>
        <w:right w:val="none" w:sz="0" w:space="0" w:color="auto"/>
      </w:divBdr>
    </w:div>
    <w:div w:id="1092048955">
      <w:bodyDiv w:val="1"/>
      <w:marLeft w:val="0"/>
      <w:marRight w:val="0"/>
      <w:marTop w:val="0"/>
      <w:marBottom w:val="0"/>
      <w:divBdr>
        <w:top w:val="none" w:sz="0" w:space="0" w:color="auto"/>
        <w:left w:val="none" w:sz="0" w:space="0" w:color="auto"/>
        <w:bottom w:val="none" w:sz="0" w:space="0" w:color="auto"/>
        <w:right w:val="none" w:sz="0" w:space="0" w:color="auto"/>
      </w:divBdr>
    </w:div>
    <w:div w:id="1169097419">
      <w:bodyDiv w:val="1"/>
      <w:marLeft w:val="0"/>
      <w:marRight w:val="0"/>
      <w:marTop w:val="0"/>
      <w:marBottom w:val="0"/>
      <w:divBdr>
        <w:top w:val="none" w:sz="0" w:space="0" w:color="auto"/>
        <w:left w:val="none" w:sz="0" w:space="0" w:color="auto"/>
        <w:bottom w:val="none" w:sz="0" w:space="0" w:color="auto"/>
        <w:right w:val="none" w:sz="0" w:space="0" w:color="auto"/>
      </w:divBdr>
    </w:div>
    <w:div w:id="1296254467">
      <w:bodyDiv w:val="1"/>
      <w:marLeft w:val="0"/>
      <w:marRight w:val="0"/>
      <w:marTop w:val="0"/>
      <w:marBottom w:val="0"/>
      <w:divBdr>
        <w:top w:val="none" w:sz="0" w:space="0" w:color="auto"/>
        <w:left w:val="none" w:sz="0" w:space="0" w:color="auto"/>
        <w:bottom w:val="none" w:sz="0" w:space="0" w:color="auto"/>
        <w:right w:val="none" w:sz="0" w:space="0" w:color="auto"/>
      </w:divBdr>
    </w:div>
    <w:div w:id="1457798749">
      <w:bodyDiv w:val="1"/>
      <w:marLeft w:val="0"/>
      <w:marRight w:val="0"/>
      <w:marTop w:val="0"/>
      <w:marBottom w:val="0"/>
      <w:divBdr>
        <w:top w:val="none" w:sz="0" w:space="0" w:color="auto"/>
        <w:left w:val="none" w:sz="0" w:space="0" w:color="auto"/>
        <w:bottom w:val="none" w:sz="0" w:space="0" w:color="auto"/>
        <w:right w:val="none" w:sz="0" w:space="0" w:color="auto"/>
      </w:divBdr>
    </w:div>
    <w:div w:id="1467816282">
      <w:bodyDiv w:val="1"/>
      <w:marLeft w:val="0"/>
      <w:marRight w:val="0"/>
      <w:marTop w:val="0"/>
      <w:marBottom w:val="0"/>
      <w:divBdr>
        <w:top w:val="none" w:sz="0" w:space="0" w:color="auto"/>
        <w:left w:val="none" w:sz="0" w:space="0" w:color="auto"/>
        <w:bottom w:val="none" w:sz="0" w:space="0" w:color="auto"/>
        <w:right w:val="none" w:sz="0" w:space="0" w:color="auto"/>
      </w:divBdr>
    </w:div>
    <w:div w:id="1598252393">
      <w:bodyDiv w:val="1"/>
      <w:marLeft w:val="0"/>
      <w:marRight w:val="0"/>
      <w:marTop w:val="0"/>
      <w:marBottom w:val="0"/>
      <w:divBdr>
        <w:top w:val="none" w:sz="0" w:space="0" w:color="auto"/>
        <w:left w:val="none" w:sz="0" w:space="0" w:color="auto"/>
        <w:bottom w:val="none" w:sz="0" w:space="0" w:color="auto"/>
        <w:right w:val="none" w:sz="0" w:space="0" w:color="auto"/>
      </w:divBdr>
    </w:div>
    <w:div w:id="1606229584">
      <w:bodyDiv w:val="1"/>
      <w:marLeft w:val="0"/>
      <w:marRight w:val="0"/>
      <w:marTop w:val="0"/>
      <w:marBottom w:val="0"/>
      <w:divBdr>
        <w:top w:val="none" w:sz="0" w:space="0" w:color="auto"/>
        <w:left w:val="none" w:sz="0" w:space="0" w:color="auto"/>
        <w:bottom w:val="none" w:sz="0" w:space="0" w:color="auto"/>
        <w:right w:val="none" w:sz="0" w:space="0" w:color="auto"/>
      </w:divBdr>
    </w:div>
    <w:div w:id="1779983083">
      <w:bodyDiv w:val="1"/>
      <w:marLeft w:val="0"/>
      <w:marRight w:val="0"/>
      <w:marTop w:val="0"/>
      <w:marBottom w:val="0"/>
      <w:divBdr>
        <w:top w:val="none" w:sz="0" w:space="0" w:color="auto"/>
        <w:left w:val="none" w:sz="0" w:space="0" w:color="auto"/>
        <w:bottom w:val="none" w:sz="0" w:space="0" w:color="auto"/>
        <w:right w:val="none" w:sz="0" w:space="0" w:color="auto"/>
      </w:divBdr>
    </w:div>
    <w:div w:id="1817255773">
      <w:bodyDiv w:val="1"/>
      <w:marLeft w:val="0"/>
      <w:marRight w:val="0"/>
      <w:marTop w:val="0"/>
      <w:marBottom w:val="0"/>
      <w:divBdr>
        <w:top w:val="none" w:sz="0" w:space="0" w:color="auto"/>
        <w:left w:val="none" w:sz="0" w:space="0" w:color="auto"/>
        <w:bottom w:val="none" w:sz="0" w:space="0" w:color="auto"/>
        <w:right w:val="none" w:sz="0" w:space="0" w:color="auto"/>
      </w:divBdr>
    </w:div>
    <w:div w:id="20452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a.gov.au/groundwater/groundwater-in-australia.html"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ga.gov.au/groundwater/groundwater-in-australia/sedimentary-basi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spire.jrc.ec.europa.eu/documents/Data_Specifications/INSPIRE_DataSpecification_AM_v3.0rc3.pdf" TargetMode="External"/><Relationship Id="rId11" Type="http://schemas.openxmlformats.org/officeDocument/2006/relationships/hyperlink" Target="http://www.groundwater.org/gi/gwglossary.html" TargetMode="External"/><Relationship Id="rId5" Type="http://schemas.openxmlformats.org/officeDocument/2006/relationships/webSettings" Target="webSettings.xml"/><Relationship Id="rId15" Type="http://schemas.openxmlformats.org/officeDocument/2006/relationships/hyperlink" Target="http://exact-me.org/overview/p11.htm" TargetMode="External"/><Relationship Id="rId10" Type="http://schemas.openxmlformats.org/officeDocument/2006/relationships/hyperlink" Target="http://www.wrds.uwyo.edu/wrds/deq/whp/whpgloss.html"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vro.dpi.vic.gov.au/dpi/vro/vrosite.nsf/pages/water-vics-gwater-bas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Schubert</dc:creator>
  <cp:lastModifiedBy>Robert Tomas</cp:lastModifiedBy>
  <cp:revision>2</cp:revision>
  <dcterms:created xsi:type="dcterms:W3CDTF">2013-05-17T16:39:00Z</dcterms:created>
  <dcterms:modified xsi:type="dcterms:W3CDTF">2013-05-17T16:39:00Z</dcterms:modified>
</cp:coreProperties>
</file>