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7BE72" w14:textId="50D8D4EF" w:rsidR="005A7E95" w:rsidRDefault="00FC7BA8" w:rsidP="005A7E95">
      <w:pPr>
        <w:pStyle w:val="Title"/>
      </w:pPr>
      <w:bookmarkStart w:id="0" w:name="_GoBack"/>
      <w:bookmarkEnd w:id="0"/>
      <w:r>
        <w:rPr>
          <w:rFonts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4D77DBE" wp14:editId="113A55AF">
            <wp:simplePos x="0" y="0"/>
            <wp:positionH relativeFrom="column">
              <wp:posOffset>3314700</wp:posOffset>
            </wp:positionH>
            <wp:positionV relativeFrom="paragraph">
              <wp:posOffset>-114300</wp:posOffset>
            </wp:positionV>
            <wp:extent cx="1943100" cy="1857375"/>
            <wp:effectExtent l="736600" t="0" r="63500" b="73025"/>
            <wp:wrapTight wrapText="bothSides">
              <wp:wrapPolygon edited="0">
                <wp:start x="-565" y="0"/>
                <wp:lineTo x="-565" y="14178"/>
                <wp:lineTo x="-8188" y="14178"/>
                <wp:lineTo x="-8188" y="18905"/>
                <wp:lineTo x="-5365" y="18905"/>
                <wp:lineTo x="-5365" y="21858"/>
                <wp:lineTo x="-565" y="22154"/>
                <wp:lineTo x="21741" y="22154"/>
                <wp:lineTo x="22024" y="0"/>
                <wp:lineTo x="-565" y="0"/>
              </wp:wrapPolygon>
            </wp:wrapTight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4"/>
                    <a:stretch/>
                  </pic:blipFill>
                  <pic:spPr bwMode="auto">
                    <a:xfrm>
                      <a:off x="0" y="0"/>
                      <a:ext cx="19431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E95">
        <w:t xml:space="preserve">Ratings, </w:t>
      </w:r>
      <w:proofErr w:type="spellStart"/>
      <w:r w:rsidR="005A7E95">
        <w:t>gaugings</w:t>
      </w:r>
      <w:proofErr w:type="spellEnd"/>
      <w:r w:rsidR="005A7E95">
        <w:t xml:space="preserve"> and cross-sections Interoperability Experiment brief</w:t>
      </w:r>
    </w:p>
    <w:p w14:paraId="5341E84A" w14:textId="2A253984" w:rsidR="005A7E95" w:rsidRDefault="005A7E95" w:rsidP="005A7E95">
      <w:r>
        <w:t xml:space="preserve">This document gives an overview </w:t>
      </w:r>
      <w:r w:rsidR="0038149E">
        <w:t>of</w:t>
      </w:r>
      <w:r>
        <w:t xml:space="preserve"> a proposed Interoperability Experiment to be run by members of the WMO/OGC Hydrology D</w:t>
      </w:r>
      <w:r w:rsidR="0038149E">
        <w:t>omain Working Group (</w:t>
      </w:r>
      <w:proofErr w:type="spellStart"/>
      <w:r w:rsidR="0038149E">
        <w:t>HydroDWG</w:t>
      </w:r>
      <w:proofErr w:type="spellEnd"/>
      <w:r w:rsidR="0038149E">
        <w:t xml:space="preserve">), focusing on exchange of hydrological rating tables. </w:t>
      </w:r>
    </w:p>
    <w:p w14:paraId="227946A9" w14:textId="77777777" w:rsidR="005A7E95" w:rsidRPr="005A7E95" w:rsidRDefault="005A7E95" w:rsidP="005A7E95">
      <w:pPr>
        <w:pStyle w:val="Heading1"/>
      </w:pPr>
      <w:r>
        <w:t>Acronyms &amp; definitions</w:t>
      </w:r>
    </w:p>
    <w:p w14:paraId="21988AD4" w14:textId="77777777" w:rsidR="005A7E95" w:rsidRDefault="005A7E95" w:rsidP="005A7E95">
      <w:r w:rsidRPr="005A7E95">
        <w:rPr>
          <w:b/>
        </w:rPr>
        <w:t>WMO</w:t>
      </w:r>
      <w:r>
        <w:t xml:space="preserve"> – World Meteorological </w:t>
      </w:r>
      <w:proofErr w:type="spellStart"/>
      <w:r>
        <w:t>Organisation</w:t>
      </w:r>
      <w:proofErr w:type="spellEnd"/>
    </w:p>
    <w:p w14:paraId="74129ACA" w14:textId="77777777" w:rsidR="005A7E95" w:rsidRDefault="005A7E95" w:rsidP="005A7E95">
      <w:r w:rsidRPr="005A7E95">
        <w:rPr>
          <w:b/>
        </w:rPr>
        <w:t>OGC</w:t>
      </w:r>
      <w:r>
        <w:t xml:space="preserve"> – Open Geospatial Consortium</w:t>
      </w:r>
    </w:p>
    <w:p w14:paraId="08C924EF" w14:textId="77777777" w:rsidR="005A7E95" w:rsidRDefault="005A7E95" w:rsidP="005A7E95">
      <w:proofErr w:type="spellStart"/>
      <w:r w:rsidRPr="005A7E95">
        <w:rPr>
          <w:b/>
        </w:rPr>
        <w:t>HydroDWG</w:t>
      </w:r>
      <w:proofErr w:type="spellEnd"/>
      <w:r>
        <w:t xml:space="preserve"> – </w:t>
      </w:r>
      <w:hyperlink r:id="rId6" w:history="1">
        <w:r w:rsidRPr="005A7E95">
          <w:rPr>
            <w:rStyle w:val="Hyperlink"/>
          </w:rPr>
          <w:t>WMO/OGC Hydrology Domain Working Group</w:t>
        </w:r>
      </w:hyperlink>
    </w:p>
    <w:p w14:paraId="279A8785" w14:textId="77777777" w:rsidR="005A7E95" w:rsidRDefault="005A7E95" w:rsidP="005A7E95">
      <w:r w:rsidRPr="005A7E95">
        <w:rPr>
          <w:b/>
        </w:rPr>
        <w:t>WaterML2.0 part 1</w:t>
      </w:r>
      <w:r>
        <w:t xml:space="preserve"> – OGC standard for exchange of hydrological time-series data</w:t>
      </w:r>
    </w:p>
    <w:p w14:paraId="6E4DB09C" w14:textId="77777777" w:rsidR="005A7E95" w:rsidRDefault="005A7E95" w:rsidP="005A7E95">
      <w:r w:rsidRPr="005A7E95">
        <w:rPr>
          <w:b/>
        </w:rPr>
        <w:t xml:space="preserve">WaterML2.0 part 2 </w:t>
      </w:r>
      <w:r>
        <w:t xml:space="preserve">– draft OGC standard for exchange of hydrological rating tables, gauging and river cross-sections. </w:t>
      </w:r>
    </w:p>
    <w:p w14:paraId="357D52D3" w14:textId="77777777" w:rsidR="005A7E95" w:rsidRDefault="005A7E95" w:rsidP="005A7E95">
      <w:pPr>
        <w:pStyle w:val="Heading1"/>
      </w:pPr>
      <w:r>
        <w:t>Background</w:t>
      </w:r>
    </w:p>
    <w:p w14:paraId="23DF2FC3" w14:textId="77777777" w:rsidR="005A7E95" w:rsidRDefault="005A7E95" w:rsidP="005A7E95">
      <w:r>
        <w:t xml:space="preserve">The </w:t>
      </w:r>
      <w:proofErr w:type="spellStart"/>
      <w:r>
        <w:t>HydroDWG</w:t>
      </w:r>
      <w:proofErr w:type="spellEnd"/>
      <w:r>
        <w:t xml:space="preserve"> is focused on the definition of exchange formats and service interfaces to exchange hydrological data in multiple, interoperable ways. The group operates as a community of practice for hydrological data managers looking to share practices</w:t>
      </w:r>
      <w:r w:rsidR="00F5107A">
        <w:t xml:space="preserve"> and techniques for effective hydrological </w:t>
      </w:r>
      <w:r>
        <w:t xml:space="preserve">data exchange. The group </w:t>
      </w:r>
      <w:r w:rsidR="00F5107A">
        <w:t>starts specific</w:t>
      </w:r>
      <w:r>
        <w:t xml:space="preserve"> activities for specification of standards and operation of tests for data exchange in particular scenarios. </w:t>
      </w:r>
    </w:p>
    <w:p w14:paraId="44380DC7" w14:textId="4EDC542C" w:rsidR="005A7E95" w:rsidRDefault="005A7E95" w:rsidP="005A7E95">
      <w:pPr>
        <w:rPr>
          <w:lang w:val="en-AU"/>
        </w:rPr>
      </w:pPr>
      <w:r>
        <w:t xml:space="preserve">The OGC operates an </w:t>
      </w:r>
      <w:hyperlink r:id="rId7" w:history="1">
        <w:r w:rsidRPr="005A7E95">
          <w:rPr>
            <w:rStyle w:val="Hyperlink"/>
          </w:rPr>
          <w:t>interoperability program</w:t>
        </w:r>
      </w:hyperlink>
      <w:r>
        <w:t xml:space="preserve"> </w:t>
      </w:r>
      <w:r w:rsidR="00C45112">
        <w:t>that offers</w:t>
      </w:r>
      <w:r>
        <w:t xml:space="preserve"> a number of initiatives to “…d</w:t>
      </w:r>
      <w:proofErr w:type="spellStart"/>
      <w:r w:rsidRPr="005A7E95">
        <w:rPr>
          <w:lang w:val="en-AU"/>
        </w:rPr>
        <w:t>evelop</w:t>
      </w:r>
      <w:proofErr w:type="spellEnd"/>
      <w:r w:rsidRPr="005A7E95">
        <w:rPr>
          <w:lang w:val="en-AU"/>
        </w:rPr>
        <w:t>, evolve,</w:t>
      </w:r>
      <w:r>
        <w:rPr>
          <w:lang w:val="en-AU"/>
        </w:rPr>
        <w:t xml:space="preserve"> test, demonstrate and validate…” standards. </w:t>
      </w:r>
      <w:r w:rsidR="000B16C9">
        <w:rPr>
          <w:lang w:val="en-AU"/>
        </w:rPr>
        <w:t>One initiative is Interoperability Experiments that are: “</w:t>
      </w:r>
      <w:r w:rsidR="000B16C9" w:rsidRPr="00F5107A">
        <w:rPr>
          <w:i/>
          <w:lang w:val="en-AU"/>
        </w:rPr>
        <w:t>brief, low-overhead, formally structured and approved initiatives led and executed by OGC members to achieve specific technical objectives that further the OGC Technical Baseline.</w:t>
      </w:r>
      <w:r w:rsidR="00F5107A">
        <w:rPr>
          <w:lang w:val="en-AU"/>
        </w:rPr>
        <w:t xml:space="preserve">” </w:t>
      </w:r>
    </w:p>
    <w:p w14:paraId="636484C3" w14:textId="5336FF50" w:rsidR="000A5EDF" w:rsidRDefault="000A5EDF" w:rsidP="000A5EDF">
      <w:pPr>
        <w:pStyle w:val="Heading1"/>
      </w:pPr>
      <w:r>
        <w:t>Interoperability experiment objective</w:t>
      </w:r>
    </w:p>
    <w:p w14:paraId="6F9F273A" w14:textId="227574E2" w:rsidR="000A5EDF" w:rsidRDefault="00E31928" w:rsidP="00F273EE">
      <w:r>
        <w:t xml:space="preserve">The process of moving WaterML2 part 2 </w:t>
      </w:r>
      <w:r w:rsidR="00F273EE">
        <w:t xml:space="preserve">through to becoming a </w:t>
      </w:r>
      <w:r w:rsidR="00C45112">
        <w:t>s</w:t>
      </w:r>
      <w:r w:rsidR="00F273EE">
        <w:t>tandard</w:t>
      </w:r>
      <w:r>
        <w:t xml:space="preserve"> involves testing the </w:t>
      </w:r>
      <w:r w:rsidR="00F273EE">
        <w:t xml:space="preserve">draft </w:t>
      </w:r>
      <w:r>
        <w:t>standard to ensure the need</w:t>
      </w:r>
      <w:r w:rsidR="00F273EE">
        <w:t>s</w:t>
      </w:r>
      <w:r>
        <w:t xml:space="preserve"> of the community are being met. An interoperability experiment is the primary method for testing the draft standard. Interoperability experiments implement </w:t>
      </w:r>
      <w:r w:rsidR="00F273EE">
        <w:t xml:space="preserve">encoding of the information model across </w:t>
      </w:r>
      <w:r>
        <w:t>OGC web services</w:t>
      </w:r>
      <w:r w:rsidR="00F273EE">
        <w:t xml:space="preserve"> to test information exchange</w:t>
      </w:r>
      <w:r>
        <w:t>. The lessons learn</w:t>
      </w:r>
      <w:r w:rsidR="00F273EE">
        <w:t>t</w:t>
      </w:r>
      <w:r>
        <w:t xml:space="preserve"> </w:t>
      </w:r>
      <w:r w:rsidR="00F273EE">
        <w:t xml:space="preserve">along the way and findings of the IE are used to further refine and develop the draft </w:t>
      </w:r>
      <w:r>
        <w:t>standard</w:t>
      </w:r>
      <w:r w:rsidR="00F273EE">
        <w:t>.</w:t>
      </w:r>
      <w:r>
        <w:t xml:space="preserve"> </w:t>
      </w:r>
    </w:p>
    <w:p w14:paraId="35755F24" w14:textId="77777777" w:rsidR="005A7E95" w:rsidRDefault="005A7E95" w:rsidP="005A7E95">
      <w:pPr>
        <w:pStyle w:val="Heading1"/>
      </w:pPr>
      <w:r>
        <w:lastRenderedPageBreak/>
        <w:t>Proposed work</w:t>
      </w:r>
    </w:p>
    <w:p w14:paraId="72CFA55E" w14:textId="079FC0AB" w:rsidR="00F5107A" w:rsidRDefault="00F5107A" w:rsidP="00F5107A">
      <w:r>
        <w:t xml:space="preserve">An IE is being proposed by members of the </w:t>
      </w:r>
      <w:proofErr w:type="spellStart"/>
      <w:r>
        <w:t>HydroDWG</w:t>
      </w:r>
      <w:proofErr w:type="spellEnd"/>
      <w:r>
        <w:t xml:space="preserve"> to test exchange of rating tables, gauging observations and river cross-sections. A draft </w:t>
      </w:r>
      <w:r w:rsidR="00F273EE">
        <w:t xml:space="preserve">WaterML2.0 part 2 </w:t>
      </w:r>
      <w:r>
        <w:t xml:space="preserve">information model is available as a public discussion paper </w:t>
      </w:r>
      <w:hyperlink r:id="rId8" w:history="1">
        <w:r w:rsidRPr="00F5107A">
          <w:rPr>
            <w:rStyle w:val="Hyperlink"/>
          </w:rPr>
          <w:t>here</w:t>
        </w:r>
      </w:hyperlink>
      <w:r w:rsidR="00F273EE" w:rsidRPr="00C45112">
        <w:rPr>
          <w:rStyle w:val="Hyperlink"/>
          <w:color w:val="auto"/>
          <w:u w:val="none"/>
        </w:rPr>
        <w:t xml:space="preserve">, the model </w:t>
      </w:r>
      <w:r w:rsidR="00F273EE">
        <w:t>describes the type of data being exchanged</w:t>
      </w:r>
      <w:r>
        <w:t xml:space="preserve">. </w:t>
      </w:r>
      <w:r w:rsidR="00EE0B81">
        <w:t xml:space="preserve">The </w:t>
      </w:r>
      <w:r w:rsidR="00F273EE">
        <w:t xml:space="preserve">discussion paper </w:t>
      </w:r>
      <w:r w:rsidR="00EE0B81">
        <w:t xml:space="preserve">also outlines exchange use cases and requirements for the information model. </w:t>
      </w:r>
      <w:r w:rsidR="00B46BAA">
        <w:t xml:space="preserve">A short video of a prototype client for the IE can be </w:t>
      </w:r>
      <w:hyperlink r:id="rId9" w:history="1">
        <w:r w:rsidR="00B46BAA" w:rsidRPr="00B46BAA">
          <w:rPr>
            <w:rStyle w:val="Hyperlink"/>
          </w:rPr>
          <w:t>seen here</w:t>
        </w:r>
      </w:hyperlink>
      <w:r w:rsidR="0016484B">
        <w:t xml:space="preserve">, which shows an example of use case 1 </w:t>
      </w:r>
      <w:r w:rsidR="00146E69">
        <w:t xml:space="preserve">detailed </w:t>
      </w:r>
      <w:r w:rsidR="0016484B">
        <w:t>below</w:t>
      </w:r>
      <w:r w:rsidR="00B46BAA">
        <w:t xml:space="preserve">. </w:t>
      </w:r>
    </w:p>
    <w:p w14:paraId="79D057FB" w14:textId="2B3DA012" w:rsidR="00EE0B81" w:rsidRDefault="00DE3CE8" w:rsidP="00EE0B81">
      <w:r>
        <w:t xml:space="preserve">The IE is looking at testing the </w:t>
      </w:r>
      <w:r w:rsidR="00EE0B81">
        <w:t xml:space="preserve">following use cases: </w:t>
      </w:r>
    </w:p>
    <w:p w14:paraId="35F1DD4C" w14:textId="77777777" w:rsidR="003B36C9" w:rsidRDefault="00EE0B81" w:rsidP="00EE0B81">
      <w:pPr>
        <w:pStyle w:val="ListParagraph"/>
        <w:numPr>
          <w:ilvl w:val="0"/>
          <w:numId w:val="1"/>
        </w:numPr>
      </w:pPr>
      <w:r w:rsidRPr="00EE0B81">
        <w:rPr>
          <w:b/>
        </w:rPr>
        <w:t>Public / Researcher data user</w:t>
      </w:r>
      <w:r>
        <w:t xml:space="preserve">. </w:t>
      </w:r>
    </w:p>
    <w:p w14:paraId="4249E70F" w14:textId="62E9354A" w:rsidR="003B36C9" w:rsidRDefault="00F85465" w:rsidP="003B36C9">
      <w:pPr>
        <w:pStyle w:val="ListParagraph"/>
        <w:numPr>
          <w:ilvl w:val="1"/>
          <w:numId w:val="1"/>
        </w:numPr>
      </w:pPr>
      <w:r>
        <w:t xml:space="preserve">An </w:t>
      </w:r>
      <w:r w:rsidR="00EE0B81">
        <w:t>individual is interested in understanding how derived hydrological data, such as river discharge, is generated. There are varying levels of sophistication of users</w:t>
      </w:r>
      <w:r w:rsidR="003B36C9">
        <w:t>:</w:t>
      </w:r>
    </w:p>
    <w:p w14:paraId="642C6384" w14:textId="7ABD0A53" w:rsidR="003B36C9" w:rsidRDefault="003B36C9" w:rsidP="003B36C9">
      <w:pPr>
        <w:pStyle w:val="ListParagraph"/>
        <w:numPr>
          <w:ilvl w:val="2"/>
          <w:numId w:val="1"/>
        </w:numPr>
      </w:pPr>
      <w:r>
        <w:t>General public</w:t>
      </w:r>
    </w:p>
    <w:p w14:paraId="2A6B2DBB" w14:textId="1F50F89A" w:rsidR="003B36C9" w:rsidRDefault="003B36C9" w:rsidP="003B36C9">
      <w:pPr>
        <w:pStyle w:val="ListParagraph"/>
        <w:numPr>
          <w:ilvl w:val="2"/>
          <w:numId w:val="1"/>
        </w:numPr>
      </w:pPr>
      <w:r>
        <w:t>Students of hydrology</w:t>
      </w:r>
    </w:p>
    <w:p w14:paraId="2E9AA3C8" w14:textId="0E3DAFF1" w:rsidR="00EE0B81" w:rsidRDefault="003B36C9" w:rsidP="003B36C9">
      <w:pPr>
        <w:pStyle w:val="ListParagraph"/>
        <w:numPr>
          <w:ilvl w:val="2"/>
          <w:numId w:val="1"/>
        </w:numPr>
      </w:pPr>
      <w:r>
        <w:t>Researchers</w:t>
      </w:r>
      <w:r w:rsidR="00EE0B81">
        <w:t xml:space="preserve"> investigating inherent uncertainty the conversion process. </w:t>
      </w:r>
    </w:p>
    <w:p w14:paraId="1D798A37" w14:textId="56CFFB70" w:rsidR="00765D24" w:rsidRDefault="00F85465" w:rsidP="00765D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Hydrological data managers</w:t>
      </w:r>
      <w:r w:rsidR="00765D24">
        <w:rPr>
          <w:b/>
        </w:rPr>
        <w:t xml:space="preserve"> </w:t>
      </w:r>
    </w:p>
    <w:p w14:paraId="2EE4F2F2" w14:textId="2D1744A6" w:rsidR="00765D24" w:rsidRDefault="00765D24" w:rsidP="00765D24">
      <w:pPr>
        <w:pStyle w:val="ListParagraph"/>
        <w:numPr>
          <w:ilvl w:val="1"/>
          <w:numId w:val="1"/>
        </w:numPr>
      </w:pPr>
      <w:r>
        <w:t xml:space="preserve">A user and/or system want to retrieve the most up to date rating for a particular site. </w:t>
      </w:r>
    </w:p>
    <w:p w14:paraId="25B47675" w14:textId="3B510977" w:rsidR="00765D24" w:rsidRDefault="00765D24" w:rsidP="00765D24">
      <w:pPr>
        <w:pStyle w:val="ListParagraph"/>
        <w:numPr>
          <w:ilvl w:val="1"/>
          <w:numId w:val="1"/>
        </w:numPr>
      </w:pPr>
      <w:r w:rsidRPr="00765D24">
        <w:t>A user and/or system want to retrieve a full family of rating tables</w:t>
      </w:r>
      <w:r>
        <w:t xml:space="preserve"> for a particular monitoring site. </w:t>
      </w:r>
    </w:p>
    <w:p w14:paraId="73E42A01" w14:textId="0B71AC03" w:rsidR="00EE0B81" w:rsidRDefault="009F5F1D" w:rsidP="00F5107A">
      <w:pPr>
        <w:pStyle w:val="ListParagraph"/>
        <w:numPr>
          <w:ilvl w:val="1"/>
          <w:numId w:val="1"/>
        </w:numPr>
      </w:pPr>
      <w:r>
        <w:t xml:space="preserve">Interoperability between two disparate software systems. Two </w:t>
      </w:r>
      <w:proofErr w:type="spellStart"/>
      <w:r>
        <w:t>organisations</w:t>
      </w:r>
      <w:proofErr w:type="spellEnd"/>
      <w:r>
        <w:t xml:space="preserve"> want to exchange data and are running different underlying hydrological data management systems</w:t>
      </w:r>
      <w:r w:rsidR="00097E58">
        <w:t xml:space="preserve">. </w:t>
      </w:r>
    </w:p>
    <w:p w14:paraId="2372482A" w14:textId="72472874" w:rsidR="00761D7C" w:rsidRDefault="00EE0B81" w:rsidP="00761D7C">
      <w:pPr>
        <w:pStyle w:val="Heading2"/>
      </w:pPr>
      <w:r>
        <w:t xml:space="preserve">What is expected from participants? </w:t>
      </w:r>
    </w:p>
    <w:p w14:paraId="1B17A2A2" w14:textId="17294DCE" w:rsidR="00F02968" w:rsidRDefault="00FC7BA8" w:rsidP="00F02968">
      <w:r>
        <w:t xml:space="preserve">It is expected there will be a number of </w:t>
      </w:r>
      <w:r w:rsidR="00761D7C">
        <w:t xml:space="preserve">roles for participants </w:t>
      </w:r>
      <w:r w:rsidR="00F02968">
        <w:t>of</w:t>
      </w:r>
      <w:r w:rsidR="00761D7C">
        <w:t xml:space="preserve"> IE</w:t>
      </w:r>
      <w:r w:rsidR="00F02968">
        <w:t>:</w:t>
      </w:r>
    </w:p>
    <w:p w14:paraId="5A2D1590" w14:textId="77777777" w:rsidR="00F02968" w:rsidRDefault="00F02968" w:rsidP="00F02968">
      <w:pPr>
        <w:pStyle w:val="ListParagraph"/>
        <w:numPr>
          <w:ilvl w:val="0"/>
          <w:numId w:val="2"/>
        </w:numPr>
      </w:pPr>
      <w:r w:rsidRPr="00F02968">
        <w:rPr>
          <w:b/>
        </w:rPr>
        <w:t>Data holder</w:t>
      </w:r>
      <w:r>
        <w:t xml:space="preserve">: you hold a data set that may be of interest from a data exchange perspective. E.g. someone else regularly wants this data; you currently exchange this data; you want to exchange this data. </w:t>
      </w:r>
    </w:p>
    <w:p w14:paraId="0A5F311B" w14:textId="2C9E7539" w:rsidR="00F02968" w:rsidRDefault="00F02968" w:rsidP="00F02968">
      <w:pPr>
        <w:pStyle w:val="ListParagraph"/>
        <w:numPr>
          <w:ilvl w:val="0"/>
          <w:numId w:val="2"/>
        </w:numPr>
      </w:pPr>
      <w:r>
        <w:rPr>
          <w:b/>
        </w:rPr>
        <w:t xml:space="preserve">Software service </w:t>
      </w:r>
      <w:r w:rsidRPr="00F02968">
        <w:rPr>
          <w:b/>
        </w:rPr>
        <w:t>provider</w:t>
      </w:r>
      <w:r>
        <w:rPr>
          <w:b/>
        </w:rPr>
        <w:t xml:space="preserve">: </w:t>
      </w:r>
      <w:r w:rsidRPr="00F02968">
        <w:t xml:space="preserve">you </w:t>
      </w:r>
      <w:r>
        <w:t xml:space="preserve">are able to provide software services that will implement prototype web services to encode </w:t>
      </w:r>
      <w:r w:rsidR="00D40180">
        <w:t xml:space="preserve">the sample </w:t>
      </w:r>
      <w:r>
        <w:t xml:space="preserve">data. </w:t>
      </w:r>
    </w:p>
    <w:p w14:paraId="61491F0F" w14:textId="690EDED2" w:rsidR="00F02968" w:rsidRDefault="00F02968" w:rsidP="00F02968">
      <w:pPr>
        <w:pStyle w:val="ListParagraph"/>
        <w:numPr>
          <w:ilvl w:val="0"/>
          <w:numId w:val="2"/>
        </w:numPr>
      </w:pPr>
      <w:r>
        <w:rPr>
          <w:b/>
        </w:rPr>
        <w:t xml:space="preserve">Software client provider: </w:t>
      </w:r>
      <w:r>
        <w:t xml:space="preserve">you are able to provide a running client that can demonstrate consumption of web services that encode ratings data. </w:t>
      </w:r>
    </w:p>
    <w:p w14:paraId="302D1556" w14:textId="298A5A50" w:rsidR="00F02968" w:rsidRDefault="00F02968" w:rsidP="00F02968">
      <w:pPr>
        <w:pStyle w:val="ListParagraph"/>
        <w:numPr>
          <w:ilvl w:val="0"/>
          <w:numId w:val="2"/>
        </w:numPr>
      </w:pPr>
      <w:r>
        <w:rPr>
          <w:b/>
        </w:rPr>
        <w:t>Infrastructure hosting:</w:t>
      </w:r>
      <w:r>
        <w:t xml:space="preserve"> you have the ability to host public-facing web services and/or clients. </w:t>
      </w:r>
    </w:p>
    <w:p w14:paraId="3F055439" w14:textId="238EF2DF" w:rsidR="00F02968" w:rsidRDefault="00F02968" w:rsidP="003B2BCC">
      <w:r>
        <w:t xml:space="preserve">Any combinations of the above are also obviously valid. </w:t>
      </w:r>
      <w:r w:rsidR="003B2BCC">
        <w:t xml:space="preserve">We welcome any contributions! </w:t>
      </w:r>
    </w:p>
    <w:p w14:paraId="024DB5C7" w14:textId="7F9A80C9" w:rsidR="009B4FF4" w:rsidRDefault="009B4FF4" w:rsidP="009B4FF4">
      <w:pPr>
        <w:pStyle w:val="Heading2"/>
      </w:pPr>
      <w:r>
        <w:t>How will the IE be run?</w:t>
      </w:r>
    </w:p>
    <w:p w14:paraId="660A9178" w14:textId="74FB33FB" w:rsidR="007E2FB0" w:rsidRDefault="007E2FB0" w:rsidP="007E2FB0">
      <w:r>
        <w:t xml:space="preserve">It is likely that the IE will be split according to a number of well-defined scenarios that relate to the use-cases combined with active </w:t>
      </w:r>
      <w:r w:rsidR="00D44B6B">
        <w:t>participants</w:t>
      </w:r>
      <w:r>
        <w:t xml:space="preserve">. For example, there </w:t>
      </w:r>
      <w:r w:rsidR="001A382A">
        <w:t>will</w:t>
      </w:r>
      <w:r>
        <w:t xml:space="preserve"> be an Australian-based scenario that captures data exchange of full rating history between </w:t>
      </w:r>
      <w:r w:rsidR="00D44B6B">
        <w:t>a number of Australian</w:t>
      </w:r>
      <w:r>
        <w:t xml:space="preserve"> water agencies</w:t>
      </w:r>
      <w:r w:rsidR="00D44B6B">
        <w:t xml:space="preserve"> and the Bureau of Meteorology</w:t>
      </w:r>
      <w:r>
        <w:t xml:space="preserve">. </w:t>
      </w:r>
    </w:p>
    <w:p w14:paraId="5548D46F" w14:textId="39E9C70C" w:rsidR="007E2FB0" w:rsidRDefault="007E2FB0" w:rsidP="007E2FB0">
      <w:r>
        <w:t xml:space="preserve">The type of role(s) each participant takes on will determine the level of involvement. Participants contributing software will be likely to require more regular contact with the IE than others. </w:t>
      </w:r>
    </w:p>
    <w:p w14:paraId="7C5DCAC0" w14:textId="35381050" w:rsidR="009E1EB8" w:rsidRDefault="00D44B6B" w:rsidP="009B4FF4">
      <w:r>
        <w:lastRenderedPageBreak/>
        <w:t xml:space="preserve">Semi-regular teleconferences will be held to coordinate activities, but these may </w:t>
      </w:r>
      <w:r w:rsidR="00FA7DB6">
        <w:t xml:space="preserve">operate within the sub-groups to minimize time required to participate. We understand that time is precious and in-kind contributions can be difficult; we will endeavor to run the IE with this in mind. </w:t>
      </w:r>
    </w:p>
    <w:p w14:paraId="64A927E5" w14:textId="486C7487" w:rsidR="007466CF" w:rsidRDefault="007466CF" w:rsidP="007466CF">
      <w:pPr>
        <w:pStyle w:val="Heading2"/>
      </w:pPr>
      <w:r>
        <w:t>Technical details</w:t>
      </w:r>
    </w:p>
    <w:p w14:paraId="03BF2DF2" w14:textId="763298AB" w:rsidR="007466CF" w:rsidRDefault="007466CF" w:rsidP="007466CF">
      <w:r>
        <w:t>In terms of service and client</w:t>
      </w:r>
      <w:r w:rsidR="00B85107">
        <w:t xml:space="preserve"> development, the exact details have not yet </w:t>
      </w:r>
      <w:r>
        <w:t xml:space="preserve">been defined, as this is part of the planning. But the proposed web-services will need to support the agreed on encoding format, that is likely to be XML and/or JSON, coupled with a web-service operating over HTTP (e.g. </w:t>
      </w:r>
      <w:r w:rsidR="00DE3CE8">
        <w:t xml:space="preserve">WFS/SOS, </w:t>
      </w:r>
      <w:r>
        <w:t xml:space="preserve">SOAP, HTTP key-value pairs, </w:t>
      </w:r>
      <w:proofErr w:type="spellStart"/>
      <w:r>
        <w:t>RESTful</w:t>
      </w:r>
      <w:proofErr w:type="spellEnd"/>
      <w:r>
        <w:t xml:space="preserve"> API etc.). Participants are encouraged to provide input on the definition of these formats/interfaces based on the existing work. </w:t>
      </w:r>
    </w:p>
    <w:p w14:paraId="42D6A627" w14:textId="5A838456" w:rsidR="009E1EB8" w:rsidRPr="007466CF" w:rsidRDefault="009E1EB8" w:rsidP="007466CF">
      <w:r>
        <w:t xml:space="preserve">The IE will deliver running software that can demonstrate satisfaction of the use cases, along with an engineering report on conclusion of the IE. </w:t>
      </w:r>
    </w:p>
    <w:p w14:paraId="1BEECC60" w14:textId="332336B3" w:rsidR="009B4FF4" w:rsidRDefault="009B4FF4" w:rsidP="009B4FF4">
      <w:pPr>
        <w:pStyle w:val="Heading2"/>
      </w:pPr>
      <w:r>
        <w:t xml:space="preserve">What is the timeline? </w:t>
      </w:r>
    </w:p>
    <w:p w14:paraId="471B8492" w14:textId="794C31ED" w:rsidR="00E30825" w:rsidRDefault="00E30825" w:rsidP="004206A1">
      <w:r>
        <w:t>The proposed high-level dates are as follows:</w:t>
      </w:r>
    </w:p>
    <w:p w14:paraId="748D7413" w14:textId="77777777" w:rsidR="00E30825" w:rsidRDefault="005E086D" w:rsidP="00E30825">
      <w:pPr>
        <w:pStyle w:val="ListParagraph"/>
        <w:numPr>
          <w:ilvl w:val="0"/>
          <w:numId w:val="3"/>
        </w:numPr>
      </w:pPr>
      <w:r>
        <w:t xml:space="preserve">September 2013 </w:t>
      </w:r>
      <w:r w:rsidR="00E30825">
        <w:t>– IE kickoff</w:t>
      </w:r>
    </w:p>
    <w:p w14:paraId="47FC1AA3" w14:textId="233E46EE" w:rsidR="00E30825" w:rsidRDefault="00E30825" w:rsidP="00E30825">
      <w:pPr>
        <w:pStyle w:val="ListParagraph"/>
        <w:numPr>
          <w:ilvl w:val="0"/>
          <w:numId w:val="3"/>
        </w:numPr>
      </w:pPr>
      <w:r>
        <w:t>November 2013 – General design and agreement of schema and services</w:t>
      </w:r>
    </w:p>
    <w:p w14:paraId="4E68196B" w14:textId="2F8A0F27" w:rsidR="00E428B6" w:rsidRDefault="00E428B6" w:rsidP="00E30825">
      <w:pPr>
        <w:pStyle w:val="ListParagraph"/>
        <w:numPr>
          <w:ilvl w:val="0"/>
          <w:numId w:val="3"/>
        </w:numPr>
      </w:pPr>
      <w:r>
        <w:t>November-April 2013 – Iterative development</w:t>
      </w:r>
    </w:p>
    <w:p w14:paraId="3CDA716D" w14:textId="43E9B8DD" w:rsidR="00E30825" w:rsidRDefault="00DE3CE8" w:rsidP="00E30825">
      <w:pPr>
        <w:pStyle w:val="ListParagraph"/>
        <w:numPr>
          <w:ilvl w:val="0"/>
          <w:numId w:val="3"/>
        </w:numPr>
      </w:pPr>
      <w:r>
        <w:t>May 2014 – D</w:t>
      </w:r>
      <w:r w:rsidR="00E30825">
        <w:t>emonstration of IE</w:t>
      </w:r>
    </w:p>
    <w:p w14:paraId="16D2D6A2" w14:textId="365B9087" w:rsidR="00E428B6" w:rsidRDefault="00E30825" w:rsidP="00E428B6">
      <w:pPr>
        <w:pStyle w:val="ListParagraph"/>
        <w:numPr>
          <w:ilvl w:val="0"/>
          <w:numId w:val="3"/>
        </w:numPr>
      </w:pPr>
      <w:r>
        <w:t xml:space="preserve">June 2014 - Delivery of draft engineering report </w:t>
      </w:r>
    </w:p>
    <w:p w14:paraId="235DAE33" w14:textId="2E18D254" w:rsidR="004206A1" w:rsidRDefault="004206A1" w:rsidP="00845495">
      <w:pPr>
        <w:pStyle w:val="Heading2"/>
      </w:pPr>
      <w:r>
        <w:t>Who to contact</w:t>
      </w:r>
    </w:p>
    <w:p w14:paraId="37A6E0F9" w14:textId="5DEBFFE8" w:rsidR="004206A1" w:rsidRPr="004206A1" w:rsidRDefault="004206A1" w:rsidP="004206A1">
      <w:r>
        <w:t xml:space="preserve">Please send an email to </w:t>
      </w:r>
      <w:hyperlink r:id="rId10" w:history="1">
        <w:r w:rsidRPr="006E4F50">
          <w:rPr>
            <w:rStyle w:val="Hyperlink"/>
          </w:rPr>
          <w:t>peter.taylor@csiro.au</w:t>
        </w:r>
      </w:hyperlink>
      <w:r>
        <w:t xml:space="preserve"> </w:t>
      </w:r>
      <w:r w:rsidR="00845495">
        <w:t>and/</w:t>
      </w:r>
      <w:r>
        <w:t xml:space="preserve">or </w:t>
      </w:r>
      <w:hyperlink r:id="rId11" w:history="1">
        <w:r w:rsidR="00884831" w:rsidRPr="006E4F50">
          <w:rPr>
            <w:rStyle w:val="Hyperlink"/>
          </w:rPr>
          <w:t>p.sheahan@bom.gov.au</w:t>
        </w:r>
      </w:hyperlink>
      <w:r w:rsidR="00845495">
        <w:t xml:space="preserve"> if you are interested or have any questions. </w:t>
      </w:r>
    </w:p>
    <w:sectPr w:rsidR="004206A1" w:rsidRPr="004206A1" w:rsidSect="005547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97803"/>
    <w:multiLevelType w:val="hybridMultilevel"/>
    <w:tmpl w:val="DF92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B5ADD"/>
    <w:multiLevelType w:val="hybridMultilevel"/>
    <w:tmpl w:val="C9A2B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B2E23"/>
    <w:multiLevelType w:val="hybridMultilevel"/>
    <w:tmpl w:val="536E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95"/>
    <w:rsid w:val="00097E58"/>
    <w:rsid w:val="000A5EDF"/>
    <w:rsid w:val="000B16C9"/>
    <w:rsid w:val="00103EC2"/>
    <w:rsid w:val="00146E69"/>
    <w:rsid w:val="0016484B"/>
    <w:rsid w:val="001A382A"/>
    <w:rsid w:val="00311D2D"/>
    <w:rsid w:val="003158D4"/>
    <w:rsid w:val="0038149E"/>
    <w:rsid w:val="003B2BCC"/>
    <w:rsid w:val="003B36C9"/>
    <w:rsid w:val="004206A1"/>
    <w:rsid w:val="00496306"/>
    <w:rsid w:val="00554766"/>
    <w:rsid w:val="005A7E95"/>
    <w:rsid w:val="005E086D"/>
    <w:rsid w:val="007466CF"/>
    <w:rsid w:val="00761D7C"/>
    <w:rsid w:val="00765D24"/>
    <w:rsid w:val="007D6B24"/>
    <w:rsid w:val="007E2FB0"/>
    <w:rsid w:val="00845495"/>
    <w:rsid w:val="00861949"/>
    <w:rsid w:val="00884831"/>
    <w:rsid w:val="008E7BFB"/>
    <w:rsid w:val="009B4FF4"/>
    <w:rsid w:val="009E1EB8"/>
    <w:rsid w:val="009F5F1D"/>
    <w:rsid w:val="00AB7202"/>
    <w:rsid w:val="00B46BAA"/>
    <w:rsid w:val="00B85107"/>
    <w:rsid w:val="00C45112"/>
    <w:rsid w:val="00D40180"/>
    <w:rsid w:val="00D44B6B"/>
    <w:rsid w:val="00D51E41"/>
    <w:rsid w:val="00D86C8F"/>
    <w:rsid w:val="00DE3CE8"/>
    <w:rsid w:val="00E30825"/>
    <w:rsid w:val="00E31928"/>
    <w:rsid w:val="00E428B6"/>
    <w:rsid w:val="00EE0B81"/>
    <w:rsid w:val="00F02968"/>
    <w:rsid w:val="00F273EE"/>
    <w:rsid w:val="00F5107A"/>
    <w:rsid w:val="00F85465"/>
    <w:rsid w:val="00FA7DB6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7B51F"/>
  <w14:defaultImageDpi w14:val="300"/>
  <w15:docId w15:val="{9563F3E8-BE30-4BA4-A41A-A65476AB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B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7E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7E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A7E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A7E9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0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E0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opengeospatial.org/files/?artifact_id=544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engeospatial.org/ogc/programs/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ternal.opengis.org/twiki_public/bin/view/HydrologyDWG/WebHome" TargetMode="External"/><Relationship Id="rId11" Type="http://schemas.openxmlformats.org/officeDocument/2006/relationships/hyperlink" Target="mailto:p.sheahan@bom.gov.a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eter.taylor@csiro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70310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Taylor</dc:creator>
  <cp:keywords/>
  <dc:description/>
  <cp:lastModifiedBy>Paul</cp:lastModifiedBy>
  <cp:revision>2</cp:revision>
  <dcterms:created xsi:type="dcterms:W3CDTF">2013-08-16T05:50:00Z</dcterms:created>
  <dcterms:modified xsi:type="dcterms:W3CDTF">2013-08-16T05:50:00Z</dcterms:modified>
</cp:coreProperties>
</file>